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AC" w:rsidRDefault="00501AAC" w:rsidP="00501AAC">
      <w:pPr>
        <w:pStyle w:val="Articletitle"/>
      </w:pPr>
      <w:r>
        <w:t>Editorial</w:t>
      </w:r>
    </w:p>
    <w:p w:rsidR="00F22B88" w:rsidRPr="00501AAC" w:rsidRDefault="00F22B88" w:rsidP="00501AAC">
      <w:pPr>
        <w:pStyle w:val="Articletitle"/>
        <w:rPr>
          <w:lang w:val="en-US"/>
        </w:rPr>
      </w:pPr>
      <w:r>
        <w:t xml:space="preserve">The changing narratives of open, </w:t>
      </w:r>
      <w:r w:rsidRPr="0005321C">
        <w:t>flexible</w:t>
      </w:r>
      <w:r>
        <w:t xml:space="preserve"> and online</w:t>
      </w:r>
      <w:r w:rsidRPr="0005321C">
        <w:t xml:space="preserve"> learning</w:t>
      </w:r>
    </w:p>
    <w:p w:rsidR="00F22B88" w:rsidRPr="00632B6D" w:rsidRDefault="00F22B88" w:rsidP="00501AAC">
      <w:pPr>
        <w:pStyle w:val="Paragraph"/>
        <w:rPr>
          <w:lang w:val="en-US"/>
        </w:rPr>
      </w:pPr>
      <w:r>
        <w:rPr>
          <w:rFonts w:eastAsia="HY강M"/>
          <w:lang w:val="en-US"/>
        </w:rPr>
        <w:t>I</w:t>
      </w:r>
      <w:r w:rsidRPr="00632B6D">
        <w:rPr>
          <w:rFonts w:eastAsia="HY강M"/>
          <w:lang w:val="en-US"/>
        </w:rPr>
        <w:t xml:space="preserve">ncreasing access to information and </w:t>
      </w:r>
      <w:r w:rsidRPr="00501AAC">
        <w:rPr>
          <w:rFonts w:eastAsia="HY강M"/>
        </w:rPr>
        <w:t>communications</w:t>
      </w:r>
      <w:r w:rsidRPr="00632B6D">
        <w:rPr>
          <w:rFonts w:eastAsia="HY강M"/>
          <w:lang w:val="en-US"/>
        </w:rPr>
        <w:t xml:space="preserve"> technologies</w:t>
      </w:r>
      <w:r>
        <w:rPr>
          <w:rFonts w:eastAsia="HY강M"/>
          <w:lang w:val="en-US"/>
        </w:rPr>
        <w:t xml:space="preserve"> worldwide,</w:t>
      </w:r>
      <w:r w:rsidRPr="00632B6D">
        <w:rPr>
          <w:rFonts w:eastAsia="HY강M"/>
          <w:lang w:val="en-US"/>
        </w:rPr>
        <w:t xml:space="preserve"> </w:t>
      </w:r>
      <w:r>
        <w:rPr>
          <w:rFonts w:eastAsia="HY강M"/>
          <w:lang w:val="en-US"/>
        </w:rPr>
        <w:t xml:space="preserve">along with </w:t>
      </w:r>
      <w:r w:rsidRPr="00632B6D">
        <w:rPr>
          <w:rFonts w:eastAsia="HY강M"/>
          <w:lang w:val="en-US"/>
        </w:rPr>
        <w:t>the opportunities that they afford for learning and teaching</w:t>
      </w:r>
      <w:r w:rsidR="00AF4BFD">
        <w:rPr>
          <w:rFonts w:eastAsia="HY강M"/>
          <w:lang w:val="en-US"/>
        </w:rPr>
        <w:t>,</w:t>
      </w:r>
      <w:r>
        <w:rPr>
          <w:rFonts w:eastAsia="HY강M"/>
          <w:lang w:val="en-US"/>
        </w:rPr>
        <w:t xml:space="preserve"> is changing the narratives of o</w:t>
      </w:r>
      <w:r w:rsidRPr="00632B6D">
        <w:rPr>
          <w:rFonts w:eastAsia="HY강M"/>
          <w:lang w:val="en-US"/>
        </w:rPr>
        <w:t xml:space="preserve">pen and flexible learning. Two recent reports tracking the development of online and distance education in the United States suggest that while campus-based registrations </w:t>
      </w:r>
      <w:r>
        <w:rPr>
          <w:rFonts w:eastAsia="HY강M"/>
          <w:lang w:val="en-US"/>
        </w:rPr>
        <w:t>are</w:t>
      </w:r>
      <w:r w:rsidRPr="00632B6D">
        <w:rPr>
          <w:rFonts w:eastAsia="HY강M"/>
          <w:lang w:val="en-US"/>
        </w:rPr>
        <w:t xml:space="preserve"> down overall, distance education enrolments </w:t>
      </w:r>
      <w:r>
        <w:rPr>
          <w:rFonts w:eastAsia="HY강M"/>
          <w:lang w:val="en-US"/>
        </w:rPr>
        <w:t>are</w:t>
      </w:r>
      <w:r w:rsidRPr="00632B6D">
        <w:rPr>
          <w:rFonts w:eastAsia="HY강M"/>
          <w:lang w:val="en-US"/>
        </w:rPr>
        <w:t xml:space="preserve"> on the rise, with one </w:t>
      </w:r>
      <w:r w:rsidRPr="00632B6D">
        <w:rPr>
          <w:lang w:val="en-US"/>
        </w:rPr>
        <w:t xml:space="preserve">in three students in the US higher education sector taking at least one online distance education course </w:t>
      </w:r>
      <w:r w:rsidRPr="00632B6D">
        <w:rPr>
          <w:rFonts w:eastAsia="HY강M"/>
          <w:lang w:val="en-US"/>
        </w:rPr>
        <w:t>(</w:t>
      </w:r>
      <w:proofErr w:type="spellStart"/>
      <w:r w:rsidRPr="00632B6D">
        <w:rPr>
          <w:lang w:val="en-US"/>
        </w:rPr>
        <w:t>Legon</w:t>
      </w:r>
      <w:bookmarkStart w:id="0" w:name="_GoBack"/>
      <w:bookmarkEnd w:id="0"/>
      <w:proofErr w:type="spellEnd"/>
      <w:r w:rsidRPr="00632B6D">
        <w:rPr>
          <w:lang w:val="en-US"/>
        </w:rPr>
        <w:t xml:space="preserve">, </w:t>
      </w:r>
      <w:proofErr w:type="spellStart"/>
      <w:r w:rsidRPr="00632B6D">
        <w:rPr>
          <w:lang w:val="en-US"/>
        </w:rPr>
        <w:t>Gareett</w:t>
      </w:r>
      <w:proofErr w:type="spellEnd"/>
      <w:r w:rsidRPr="00632B6D">
        <w:rPr>
          <w:lang w:val="en-US"/>
        </w:rPr>
        <w:t xml:space="preserve">, &amp; </w:t>
      </w:r>
      <w:proofErr w:type="spellStart"/>
      <w:r w:rsidRPr="00632B6D">
        <w:rPr>
          <w:lang w:val="en-US"/>
        </w:rPr>
        <w:t>Fredericksen</w:t>
      </w:r>
      <w:proofErr w:type="spellEnd"/>
      <w:r w:rsidRPr="00632B6D">
        <w:rPr>
          <w:lang w:val="en-US"/>
        </w:rPr>
        <w:t>, 2019; Seaman, Allen, &amp; Seaman, 2018).</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Pr>
          <w:lang w:val="en-US"/>
        </w:rPr>
        <w:t>This</w:t>
      </w:r>
      <w:r w:rsidRPr="00632B6D">
        <w:rPr>
          <w:lang w:val="en-US"/>
        </w:rPr>
        <w:t xml:space="preserve"> picture is not that dissimilar in other developed as well as many developing countries. </w:t>
      </w:r>
      <w:r>
        <w:rPr>
          <w:lang w:val="en-US"/>
        </w:rPr>
        <w:t>For instance, r</w:t>
      </w:r>
      <w:r w:rsidRPr="00632B6D">
        <w:rPr>
          <w:lang w:val="en-US"/>
        </w:rPr>
        <w:t>ecent surveys of student access to information and communications technologies at the University of the South Pacific</w:t>
      </w:r>
      <w:r w:rsidR="00AF4BFD">
        <w:rPr>
          <w:lang w:val="en-US"/>
        </w:rPr>
        <w:t>,</w:t>
      </w:r>
      <w:r w:rsidRPr="00632B6D">
        <w:rPr>
          <w:lang w:val="en-US"/>
        </w:rPr>
        <w:t xml:space="preserve"> which </w:t>
      </w:r>
      <w:r>
        <w:rPr>
          <w:lang w:val="en-US"/>
        </w:rPr>
        <w:t>has fourteen campuses on very small island states of</w:t>
      </w:r>
      <w:r w:rsidRPr="00632B6D">
        <w:rPr>
          <w:lang w:val="en-US"/>
        </w:rPr>
        <w:t xml:space="preserve"> the</w:t>
      </w:r>
      <w:r>
        <w:rPr>
          <w:lang w:val="en-US"/>
        </w:rPr>
        <w:t xml:space="preserve"> southwest Pacific region</w:t>
      </w:r>
      <w:r w:rsidR="00AF4BFD">
        <w:rPr>
          <w:lang w:val="en-US"/>
        </w:rPr>
        <w:t>,</w:t>
      </w:r>
      <w:r>
        <w:rPr>
          <w:lang w:val="en-US"/>
        </w:rPr>
        <w:t xml:space="preserve"> show</w:t>
      </w:r>
      <w:r w:rsidRPr="00632B6D">
        <w:rPr>
          <w:lang w:val="en-US"/>
        </w:rPr>
        <w:t xml:space="preserve"> that around </w:t>
      </w:r>
      <w:r w:rsidR="00AF4BFD">
        <w:rPr>
          <w:lang w:val="en-US"/>
        </w:rPr>
        <w:t>80%</w:t>
      </w:r>
      <w:r w:rsidRPr="00632B6D">
        <w:rPr>
          <w:lang w:val="en-US"/>
        </w:rPr>
        <w:t xml:space="preserve"> of </w:t>
      </w:r>
      <w:r>
        <w:rPr>
          <w:lang w:val="en-US"/>
        </w:rPr>
        <w:t xml:space="preserve">its </w:t>
      </w:r>
      <w:r w:rsidRPr="00632B6D">
        <w:rPr>
          <w:lang w:val="en-US"/>
        </w:rPr>
        <w:t xml:space="preserve">students have access to mobile devices such as laptops and smartphones along with reliable access to the Internet (Jione, Fong, &amp; Naidu, 2019). Availability of this kind of infrastructure means that a wider </w:t>
      </w:r>
      <w:r>
        <w:rPr>
          <w:lang w:val="en-US"/>
        </w:rPr>
        <w:t>range</w:t>
      </w:r>
      <w:r w:rsidRPr="00632B6D">
        <w:rPr>
          <w:lang w:val="en-US"/>
        </w:rPr>
        <w:t xml:space="preserve"> of students from high school </w:t>
      </w:r>
      <w:r>
        <w:rPr>
          <w:lang w:val="en-US"/>
        </w:rPr>
        <w:t>graduates</w:t>
      </w:r>
      <w:r w:rsidRPr="00632B6D">
        <w:rPr>
          <w:lang w:val="en-US"/>
        </w:rPr>
        <w:t xml:space="preserve"> to those who are working fulltime can have access to educational opportunities. It also means access to flexible learning opportunities, and a chance to upskill and reorient while still in employment.</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sidRPr="00632B6D">
        <w:rPr>
          <w:lang w:val="en-US"/>
        </w:rPr>
        <w:t>As a result, fewer and fewer students across the higher education sector</w:t>
      </w:r>
      <w:r>
        <w:rPr>
          <w:lang w:val="en-US"/>
        </w:rPr>
        <w:t>,</w:t>
      </w:r>
      <w:r w:rsidRPr="00632B6D">
        <w:rPr>
          <w:lang w:val="en-US"/>
        </w:rPr>
        <w:t xml:space="preserve"> </w:t>
      </w:r>
      <w:r>
        <w:rPr>
          <w:lang w:val="en-US"/>
        </w:rPr>
        <w:t>and around the world</w:t>
      </w:r>
      <w:r w:rsidR="00AF4BFD">
        <w:rPr>
          <w:lang w:val="en-US"/>
        </w:rPr>
        <w:t>,</w:t>
      </w:r>
      <w:r>
        <w:rPr>
          <w:lang w:val="en-US"/>
        </w:rPr>
        <w:t xml:space="preserve"> </w:t>
      </w:r>
      <w:r w:rsidRPr="00632B6D">
        <w:rPr>
          <w:lang w:val="en-US"/>
        </w:rPr>
        <w:t xml:space="preserve">are </w:t>
      </w:r>
      <w:r>
        <w:rPr>
          <w:lang w:val="en-US"/>
        </w:rPr>
        <w:t>either studying or working at any one time</w:t>
      </w:r>
      <w:r w:rsidRPr="00632B6D">
        <w:rPr>
          <w:lang w:val="en-US"/>
        </w:rPr>
        <w:t xml:space="preserve">. Instead, </w:t>
      </w:r>
      <w:r>
        <w:rPr>
          <w:lang w:val="en-US"/>
        </w:rPr>
        <w:t>many</w:t>
      </w:r>
      <w:r w:rsidRPr="00632B6D">
        <w:rPr>
          <w:lang w:val="en-US"/>
        </w:rPr>
        <w:t xml:space="preserve"> are living their lives at the junction of multiple </w:t>
      </w:r>
      <w:r>
        <w:rPr>
          <w:lang w:val="en-US"/>
        </w:rPr>
        <w:t xml:space="preserve">student </w:t>
      </w:r>
      <w:r w:rsidRPr="00632B6D">
        <w:rPr>
          <w:lang w:val="en-US"/>
        </w:rPr>
        <w:t>identities</w:t>
      </w:r>
      <w:r>
        <w:rPr>
          <w:lang w:val="en-US"/>
        </w:rPr>
        <w:t>, working and studying at the same time, and</w:t>
      </w:r>
      <w:r w:rsidRPr="00632B6D">
        <w:rPr>
          <w:lang w:val="en-US"/>
        </w:rPr>
        <w:t xml:space="preserve"> in search for a curriculum and qualification that will best meet </w:t>
      </w:r>
      <w:r w:rsidRPr="00632B6D">
        <w:rPr>
          <w:lang w:val="en-US"/>
        </w:rPr>
        <w:lastRenderedPageBreak/>
        <w:t xml:space="preserve">their needs and career aspirations now and in the future. The implications of this kind of learning and teaching </w:t>
      </w:r>
      <w:r>
        <w:rPr>
          <w:lang w:val="en-US"/>
        </w:rPr>
        <w:t>landscape</w:t>
      </w:r>
      <w:r w:rsidRPr="00632B6D">
        <w:rPr>
          <w:lang w:val="en-US"/>
        </w:rPr>
        <w:t xml:space="preserve"> for educational institutions are numerous. They include not only the need for an understanding of contemporary learners and their learning context</w:t>
      </w:r>
      <w:r>
        <w:rPr>
          <w:lang w:val="en-US"/>
        </w:rPr>
        <w:t>s</w:t>
      </w:r>
      <w:r w:rsidRPr="00632B6D">
        <w:rPr>
          <w:lang w:val="en-US"/>
        </w:rPr>
        <w:t xml:space="preserve">, </w:t>
      </w:r>
      <w:r>
        <w:rPr>
          <w:lang w:val="en-US"/>
        </w:rPr>
        <w:t xml:space="preserve">but also </w:t>
      </w:r>
      <w:r w:rsidRPr="00632B6D">
        <w:rPr>
          <w:lang w:val="en-US"/>
        </w:rPr>
        <w:t xml:space="preserve">the design of </w:t>
      </w:r>
      <w:r>
        <w:rPr>
          <w:lang w:val="en-US"/>
        </w:rPr>
        <w:t>a</w:t>
      </w:r>
      <w:r w:rsidRPr="00632B6D">
        <w:rPr>
          <w:lang w:val="en-US"/>
        </w:rPr>
        <w:t xml:space="preserve"> </w:t>
      </w:r>
      <w:r>
        <w:rPr>
          <w:lang w:val="en-US"/>
        </w:rPr>
        <w:t xml:space="preserve">curriculum </w:t>
      </w:r>
      <w:r w:rsidRPr="00632B6D">
        <w:rPr>
          <w:lang w:val="en-US"/>
        </w:rPr>
        <w:t xml:space="preserve">and its suitability for the complex learning environment that they </w:t>
      </w:r>
      <w:r>
        <w:rPr>
          <w:lang w:val="en-US"/>
        </w:rPr>
        <w:t>will</w:t>
      </w:r>
      <w:r w:rsidRPr="00632B6D">
        <w:rPr>
          <w:lang w:val="en-US"/>
        </w:rPr>
        <w:t xml:space="preserve"> inhabit in the future.</w:t>
      </w:r>
    </w:p>
    <w:p w:rsidR="00F22B88" w:rsidRPr="00632B6D" w:rsidRDefault="00F22B88" w:rsidP="00A53480">
      <w:pPr>
        <w:spacing w:line="240" w:lineRule="auto"/>
        <w:jc w:val="both"/>
        <w:rPr>
          <w:rFonts w:asciiTheme="minorHAnsi" w:eastAsia="HY강M" w:hAnsiTheme="minorHAnsi" w:cstheme="minorHAnsi"/>
          <w:sz w:val="22"/>
          <w:szCs w:val="22"/>
          <w:lang w:val="en-US"/>
        </w:rPr>
      </w:pPr>
    </w:p>
    <w:p w:rsidR="00F22B88" w:rsidRPr="00632B6D" w:rsidRDefault="00F22B88" w:rsidP="00501AAC">
      <w:pPr>
        <w:pStyle w:val="Newparagraph"/>
        <w:rPr>
          <w:lang w:val="en-US"/>
        </w:rPr>
      </w:pPr>
      <w:r w:rsidRPr="00632B6D">
        <w:rPr>
          <w:rFonts w:eastAsia="HY강M"/>
          <w:lang w:val="en-US"/>
        </w:rPr>
        <w:t xml:space="preserve">This journal has a long and strong track record </w:t>
      </w:r>
      <w:r>
        <w:rPr>
          <w:rFonts w:eastAsia="HY강M"/>
          <w:lang w:val="en-US"/>
        </w:rPr>
        <w:t>of</w:t>
      </w:r>
      <w:r w:rsidRPr="00632B6D">
        <w:rPr>
          <w:rFonts w:eastAsia="HY강M"/>
          <w:lang w:val="en-US"/>
        </w:rPr>
        <w:t xml:space="preserve"> publishing research and reflections that have sought to understand </w:t>
      </w:r>
      <w:r w:rsidRPr="00632B6D">
        <w:rPr>
          <w:lang w:val="en-US"/>
        </w:rPr>
        <w:t>learning and teaching in this complex and changing contemporary higher education space. It has included review</w:t>
      </w:r>
      <w:r>
        <w:rPr>
          <w:lang w:val="en-US"/>
        </w:rPr>
        <w:t>s</w:t>
      </w:r>
      <w:r w:rsidRPr="00632B6D">
        <w:rPr>
          <w:lang w:val="en-US"/>
        </w:rPr>
        <w:t xml:space="preserve"> of </w:t>
      </w:r>
      <w:r>
        <w:rPr>
          <w:lang w:val="en-US"/>
        </w:rPr>
        <w:t>relevant academic narratives</w:t>
      </w:r>
      <w:r w:rsidRPr="00632B6D">
        <w:rPr>
          <w:lang w:val="en-US"/>
        </w:rPr>
        <w:t xml:space="preserve"> and approaches to learning and teaching in order to be able to propose models for best practices for an inclusive and </w:t>
      </w:r>
      <w:r>
        <w:rPr>
          <w:lang w:val="en-US"/>
        </w:rPr>
        <w:t>productive learning experience. This has comprised</w:t>
      </w:r>
      <w:r w:rsidRPr="00632B6D">
        <w:rPr>
          <w:lang w:val="en-US"/>
        </w:rPr>
        <w:t xml:space="preserve"> </w:t>
      </w:r>
      <w:r>
        <w:rPr>
          <w:lang w:val="en-US"/>
        </w:rPr>
        <w:t xml:space="preserve">showcasing authentic voices of students and </w:t>
      </w:r>
      <w:r w:rsidRPr="00632B6D">
        <w:rPr>
          <w:lang w:val="en-US"/>
        </w:rPr>
        <w:t>teachers</w:t>
      </w:r>
      <w:r>
        <w:rPr>
          <w:lang w:val="en-US"/>
        </w:rPr>
        <w:t>,</w:t>
      </w:r>
      <w:r w:rsidRPr="00632B6D">
        <w:rPr>
          <w:lang w:val="en-US"/>
        </w:rPr>
        <w:t xml:space="preserve"> </w:t>
      </w:r>
      <w:r>
        <w:rPr>
          <w:lang w:val="en-US"/>
        </w:rPr>
        <w:t xml:space="preserve">and </w:t>
      </w:r>
      <w:r w:rsidRPr="00632B6D">
        <w:rPr>
          <w:lang w:val="en-US"/>
        </w:rPr>
        <w:t xml:space="preserve">understanding and responding to the particular challenges that they face, and the specific contributions they make. </w:t>
      </w:r>
      <w:r w:rsidR="00AF4BFD">
        <w:rPr>
          <w:lang w:val="en-US"/>
        </w:rPr>
        <w:t>It</w:t>
      </w:r>
      <w:r w:rsidR="00AF4BFD" w:rsidRPr="00632B6D">
        <w:rPr>
          <w:lang w:val="en-US"/>
        </w:rPr>
        <w:t xml:space="preserve"> </w:t>
      </w:r>
      <w:r w:rsidRPr="00632B6D">
        <w:rPr>
          <w:lang w:val="en-US"/>
        </w:rPr>
        <w:t>has also included an examination of the appropriateness of the curriculum and its approach to a very complex learning community that is no longer simply campus based and resident in one country.</w:t>
      </w:r>
    </w:p>
    <w:p w:rsidR="00F22B88" w:rsidRPr="00632B6D" w:rsidRDefault="00F22B88" w:rsidP="00310EDA">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eastAsia="en-US"/>
        </w:rPr>
      </w:pPr>
      <w:r w:rsidRPr="00310EDA">
        <w:rPr>
          <w:lang w:val="en-US"/>
        </w:rPr>
        <w:t>One of these groups of learners that is growing substantially on conventional campuses, and especially in the English</w:t>
      </w:r>
      <w:r w:rsidR="001839FA">
        <w:rPr>
          <w:lang w:val="en-US"/>
        </w:rPr>
        <w:t>-</w:t>
      </w:r>
      <w:r w:rsidRPr="00310EDA">
        <w:rPr>
          <w:lang w:val="en-US"/>
        </w:rPr>
        <w:t xml:space="preserve">speaking world, is international students. </w:t>
      </w:r>
      <w:r w:rsidRPr="00310EDA">
        <w:t>There are two categories of international students. There are those who have moved from their home base to study at an institution in a foreign country, and there are those who are studying at an institution in a foreign country without moving physically from their home base</w:t>
      </w:r>
      <w:r w:rsidRPr="00310EDA">
        <w:rPr>
          <w:lang w:val="en-US"/>
        </w:rPr>
        <w:t xml:space="preserve">. The dynamics of the learning transactions for the two groups couldn’t be more different in relation to their roles and responsibilities and that of the educational institutions with which they are engaged. It is this second category of international students that is the subject of the article by </w:t>
      </w:r>
      <w:proofErr w:type="spellStart"/>
      <w:r w:rsidRPr="00310EDA">
        <w:rPr>
          <w:lang w:val="en-US"/>
        </w:rPr>
        <w:t>Kyungmee</w:t>
      </w:r>
      <w:proofErr w:type="spellEnd"/>
      <w:r w:rsidRPr="00310EDA">
        <w:rPr>
          <w:lang w:val="en-US"/>
        </w:rPr>
        <w:t xml:space="preserve"> Lee </w:t>
      </w:r>
      <w:r w:rsidRPr="00310EDA">
        <w:rPr>
          <w:lang w:val="en-US"/>
        </w:rPr>
        <w:lastRenderedPageBreak/>
        <w:t xml:space="preserve">and Brett Bligh “Four </w:t>
      </w:r>
      <w:r w:rsidR="00FC6F6E" w:rsidRPr="00310EDA">
        <w:rPr>
          <w:lang w:val="en-US"/>
        </w:rPr>
        <w:t>Narrativ</w:t>
      </w:r>
      <w:r w:rsidRPr="00310EDA">
        <w:rPr>
          <w:lang w:val="en-US"/>
        </w:rPr>
        <w:t xml:space="preserve">es about </w:t>
      </w:r>
      <w:r w:rsidR="00FC6F6E" w:rsidRPr="00310EDA">
        <w:rPr>
          <w:lang w:val="en-US"/>
        </w:rPr>
        <w:t>Online International Students</w:t>
      </w:r>
      <w:r w:rsidRPr="00310EDA">
        <w:rPr>
          <w:lang w:val="en-US"/>
        </w:rPr>
        <w:t>: A critical literature review”. In this article Lee and</w:t>
      </w:r>
      <w:r w:rsidRPr="00632B6D">
        <w:rPr>
          <w:lang w:val="en-US"/>
        </w:rPr>
        <w:t xml:space="preserve"> Bligh review the </w:t>
      </w:r>
      <w:r>
        <w:rPr>
          <w:lang w:val="en-US"/>
        </w:rPr>
        <w:t xml:space="preserve">literature </w:t>
      </w:r>
      <w:r w:rsidRPr="00632B6D">
        <w:rPr>
          <w:lang w:val="en-US"/>
        </w:rPr>
        <w:t>there is</w:t>
      </w:r>
      <w:r>
        <w:rPr>
          <w:lang w:val="en-US"/>
        </w:rPr>
        <w:t xml:space="preserve"> on this topic that</w:t>
      </w:r>
      <w:r w:rsidRPr="00632B6D">
        <w:rPr>
          <w:lang w:val="en-US"/>
        </w:rPr>
        <w:t xml:space="preserve"> seeks to understand the unique circumstances and the narratives of this group of international students. Their review reveals four types of narratives</w:t>
      </w:r>
      <w:r>
        <w:rPr>
          <w:lang w:val="en-US"/>
        </w:rPr>
        <w:t xml:space="preserve"> which sees these students as</w:t>
      </w:r>
      <w:r w:rsidRPr="00632B6D">
        <w:rPr>
          <w:lang w:val="en-US"/>
        </w:rPr>
        <w:t xml:space="preserve"> </w:t>
      </w:r>
      <w:r w:rsidR="00400B5B">
        <w:rPr>
          <w:lang w:val="en-US"/>
        </w:rPr>
        <w:t>(</w:t>
      </w:r>
      <w:r w:rsidRPr="00632B6D">
        <w:rPr>
          <w:lang w:val="en-US"/>
        </w:rPr>
        <w:t xml:space="preserve">1) unspecific others; </w:t>
      </w:r>
      <w:r w:rsidR="00400B5B">
        <w:rPr>
          <w:lang w:val="en-US"/>
        </w:rPr>
        <w:t>(</w:t>
      </w:r>
      <w:r w:rsidRPr="00632B6D">
        <w:rPr>
          <w:lang w:val="en-US"/>
        </w:rPr>
        <w:t xml:space="preserve">2) specific others with deficits; </w:t>
      </w:r>
      <w:r w:rsidR="00400B5B">
        <w:rPr>
          <w:lang w:val="en-US"/>
        </w:rPr>
        <w:t>(</w:t>
      </w:r>
      <w:r w:rsidRPr="00632B6D">
        <w:rPr>
          <w:lang w:val="en-US"/>
        </w:rPr>
        <w:t>3) specific others as pedagogical resources</w:t>
      </w:r>
      <w:r w:rsidR="00400B5B">
        <w:rPr>
          <w:lang w:val="en-US"/>
        </w:rPr>
        <w:t>;</w:t>
      </w:r>
      <w:r w:rsidR="00400B5B" w:rsidRPr="00632B6D">
        <w:rPr>
          <w:lang w:val="en-US"/>
        </w:rPr>
        <w:t xml:space="preserve"> </w:t>
      </w:r>
      <w:r w:rsidRPr="00632B6D">
        <w:rPr>
          <w:lang w:val="en-US"/>
        </w:rPr>
        <w:t xml:space="preserve">and </w:t>
      </w:r>
      <w:r w:rsidR="00400B5B">
        <w:rPr>
          <w:lang w:val="en-US"/>
        </w:rPr>
        <w:t>(</w:t>
      </w:r>
      <w:r w:rsidRPr="00632B6D">
        <w:rPr>
          <w:lang w:val="en-US"/>
        </w:rPr>
        <w:t>4) active participants in international learning communities. The implications of these narratives for these learners, and the educational institutions with which they are registered</w:t>
      </w:r>
      <w:r w:rsidR="00400B5B">
        <w:rPr>
          <w:lang w:val="en-US"/>
        </w:rPr>
        <w:t>,</w:t>
      </w:r>
      <w:r w:rsidRPr="00632B6D">
        <w:rPr>
          <w:lang w:val="en-US"/>
        </w:rPr>
        <w:t xml:space="preserve"> are discussed.</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sidRPr="00632B6D">
        <w:rPr>
          <w:lang w:val="en-US"/>
        </w:rPr>
        <w:t xml:space="preserve">Another such group of students is those with disabilities. Access to learning opportunities has significant benefits for the quality of life of students with disabilities. And it is no surprise that with growing online learning opportunities, their participation in higher education is on the rise. This is the subject of the article, “Towards </w:t>
      </w:r>
      <w:r w:rsidR="00FC6F6E" w:rsidRPr="00632B6D">
        <w:rPr>
          <w:lang w:val="en-US"/>
        </w:rPr>
        <w:t xml:space="preserve">Another Kind </w:t>
      </w:r>
      <w:r w:rsidRPr="00632B6D">
        <w:rPr>
          <w:lang w:val="en-US"/>
        </w:rPr>
        <w:t xml:space="preserve">of </w:t>
      </w:r>
      <w:proofErr w:type="spellStart"/>
      <w:r w:rsidR="00FC6F6E" w:rsidRPr="00632B6D">
        <w:rPr>
          <w:lang w:val="en-US"/>
        </w:rPr>
        <w:t>Borderlessness</w:t>
      </w:r>
      <w:proofErr w:type="spellEnd"/>
      <w:r w:rsidRPr="00632B6D">
        <w:rPr>
          <w:lang w:val="en-US"/>
        </w:rPr>
        <w:t xml:space="preserve">: Online </w:t>
      </w:r>
      <w:r w:rsidR="00FC6F6E" w:rsidRPr="00632B6D">
        <w:rPr>
          <w:lang w:val="en-US"/>
        </w:rPr>
        <w:t xml:space="preserve">Students </w:t>
      </w:r>
      <w:r w:rsidRPr="00632B6D">
        <w:rPr>
          <w:lang w:val="en-US"/>
        </w:rPr>
        <w:t xml:space="preserve">with </w:t>
      </w:r>
      <w:r w:rsidR="00FC6F6E" w:rsidRPr="00632B6D">
        <w:rPr>
          <w:lang w:val="en-US"/>
        </w:rPr>
        <w:t>Disabilities</w:t>
      </w:r>
      <w:r w:rsidRPr="00632B6D">
        <w:rPr>
          <w:lang w:val="en-US"/>
        </w:rPr>
        <w:t xml:space="preserve">” by Yasuhiro </w:t>
      </w:r>
      <w:proofErr w:type="spellStart"/>
      <w:r w:rsidRPr="00632B6D">
        <w:rPr>
          <w:lang w:val="en-US"/>
        </w:rPr>
        <w:t>Kotera</w:t>
      </w:r>
      <w:proofErr w:type="spellEnd"/>
      <w:r w:rsidRPr="00632B6D">
        <w:rPr>
          <w:lang w:val="en-US"/>
        </w:rPr>
        <w:t xml:space="preserve">, Vicky </w:t>
      </w:r>
      <w:proofErr w:type="spellStart"/>
      <w:r w:rsidRPr="00632B6D">
        <w:rPr>
          <w:lang w:val="en-US"/>
        </w:rPr>
        <w:t>Cockerill</w:t>
      </w:r>
      <w:proofErr w:type="spellEnd"/>
      <w:r w:rsidRPr="00632B6D">
        <w:rPr>
          <w:lang w:val="en-US"/>
        </w:rPr>
        <w:t xml:space="preserve">, Pauline Green, Lucy Hutchinson, Paula Shaw, and Nicholas </w:t>
      </w:r>
      <w:proofErr w:type="spellStart"/>
      <w:r w:rsidRPr="00632B6D">
        <w:rPr>
          <w:lang w:val="en-US"/>
        </w:rPr>
        <w:t>Bowskill</w:t>
      </w:r>
      <w:proofErr w:type="spellEnd"/>
      <w:r w:rsidRPr="00632B6D">
        <w:rPr>
          <w:lang w:val="en-US"/>
        </w:rPr>
        <w:t xml:space="preserve">. This article looks beyond the economic benefits of </w:t>
      </w:r>
      <w:r>
        <w:rPr>
          <w:lang w:val="en-US"/>
        </w:rPr>
        <w:t xml:space="preserve">educational </w:t>
      </w:r>
      <w:r w:rsidRPr="00632B6D">
        <w:rPr>
          <w:lang w:val="en-US"/>
        </w:rPr>
        <w:t>access</w:t>
      </w:r>
      <w:r>
        <w:rPr>
          <w:lang w:val="en-US"/>
        </w:rPr>
        <w:t>,</w:t>
      </w:r>
      <w:r w:rsidRPr="00632B6D">
        <w:rPr>
          <w:lang w:val="en-US"/>
        </w:rPr>
        <w:t xml:space="preserve"> to the promotion of inclusivity in higher education that open, flexible and online learni</w:t>
      </w:r>
      <w:r>
        <w:rPr>
          <w:lang w:val="en-US"/>
        </w:rPr>
        <w:t xml:space="preserve">ng opportunities offer for both, </w:t>
      </w:r>
      <w:r w:rsidRPr="00632B6D">
        <w:rPr>
          <w:lang w:val="en-US"/>
        </w:rPr>
        <w:t>students with disabilities and the educational institutions</w:t>
      </w:r>
      <w:r>
        <w:rPr>
          <w:lang w:val="en-US"/>
        </w:rPr>
        <w:t xml:space="preserve"> with which they are registered</w:t>
      </w:r>
      <w:r w:rsidRPr="00632B6D">
        <w:rPr>
          <w:lang w:val="en-US"/>
        </w:rPr>
        <w:t xml:space="preserve">. From in-depth interviews, this investigation revealed three distinct themes that </w:t>
      </w:r>
      <w:r w:rsidR="00400B5B" w:rsidRPr="00632B6D">
        <w:rPr>
          <w:lang w:val="en-US"/>
        </w:rPr>
        <w:t>ha</w:t>
      </w:r>
      <w:r w:rsidR="00400B5B">
        <w:rPr>
          <w:lang w:val="en-US"/>
        </w:rPr>
        <w:t>ve</w:t>
      </w:r>
      <w:r w:rsidR="00400B5B" w:rsidRPr="00632B6D">
        <w:rPr>
          <w:lang w:val="en-US"/>
        </w:rPr>
        <w:t xml:space="preserve"> </w:t>
      </w:r>
      <w:r w:rsidRPr="00632B6D">
        <w:rPr>
          <w:lang w:val="en-US"/>
        </w:rPr>
        <w:t xml:space="preserve">the potential to help the development of more inclusive practices for students with disabilities. These are </w:t>
      </w:r>
      <w:r w:rsidR="00400B5B">
        <w:rPr>
          <w:lang w:val="en-US"/>
        </w:rPr>
        <w:t>(</w:t>
      </w:r>
      <w:r w:rsidRPr="00632B6D">
        <w:rPr>
          <w:lang w:val="en-US"/>
        </w:rPr>
        <w:t xml:space="preserve">1) having control over studies </w:t>
      </w:r>
      <w:r>
        <w:rPr>
          <w:lang w:val="en-US"/>
        </w:rPr>
        <w:t>as</w:t>
      </w:r>
      <w:r w:rsidRPr="00632B6D">
        <w:rPr>
          <w:lang w:val="en-US"/>
        </w:rPr>
        <w:t xml:space="preserve"> an advantage of online learning; </w:t>
      </w:r>
      <w:r w:rsidR="00400B5B">
        <w:rPr>
          <w:lang w:val="en-US"/>
        </w:rPr>
        <w:t>(</w:t>
      </w:r>
      <w:r w:rsidRPr="00632B6D">
        <w:rPr>
          <w:lang w:val="en-US"/>
        </w:rPr>
        <w:t xml:space="preserve">2) personal touch helps these students’ online learning experience; and </w:t>
      </w:r>
      <w:r w:rsidR="00400B5B">
        <w:rPr>
          <w:lang w:val="en-US"/>
        </w:rPr>
        <w:t>(</w:t>
      </w:r>
      <w:r w:rsidRPr="00632B6D">
        <w:rPr>
          <w:lang w:val="en-US"/>
        </w:rPr>
        <w:t xml:space="preserve">3) </w:t>
      </w:r>
      <w:r>
        <w:rPr>
          <w:lang w:val="en-US"/>
        </w:rPr>
        <w:t>the</w:t>
      </w:r>
      <w:r w:rsidRPr="00632B6D">
        <w:rPr>
          <w:lang w:val="en-US"/>
        </w:rPr>
        <w:t xml:space="preserve"> challenges students with disabilities experience with the social element of online learning.</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sidRPr="00632B6D">
        <w:rPr>
          <w:lang w:val="en-US"/>
        </w:rPr>
        <w:lastRenderedPageBreak/>
        <w:t xml:space="preserve">Open, flexible and online learning </w:t>
      </w:r>
      <w:r>
        <w:rPr>
          <w:lang w:val="en-US"/>
        </w:rPr>
        <w:t>has its</w:t>
      </w:r>
      <w:r w:rsidRPr="00632B6D">
        <w:rPr>
          <w:lang w:val="en-US"/>
        </w:rPr>
        <w:t xml:space="preserve"> advantages for many such groups of </w:t>
      </w:r>
      <w:r w:rsidRPr="00501AAC">
        <w:t>learners</w:t>
      </w:r>
      <w:r w:rsidRPr="00632B6D">
        <w:rPr>
          <w:lang w:val="en-US"/>
        </w:rPr>
        <w:t xml:space="preserve">, but for the same reasons, it poses problems for </w:t>
      </w:r>
      <w:r>
        <w:rPr>
          <w:lang w:val="en-US"/>
        </w:rPr>
        <w:t>many, and not only students with disabilities</w:t>
      </w:r>
      <w:r w:rsidRPr="00632B6D">
        <w:rPr>
          <w:lang w:val="en-US"/>
        </w:rPr>
        <w:t xml:space="preserve">. For instance, while one might promote social presence in the form of asynchronous student-teacher and student-student interaction as a strength of online learning, students with disabilities find this kind of activity somewhat challenging. </w:t>
      </w:r>
      <w:r>
        <w:rPr>
          <w:lang w:val="en-US"/>
        </w:rPr>
        <w:t>L</w:t>
      </w:r>
      <w:r w:rsidRPr="00632B6D">
        <w:rPr>
          <w:lang w:val="en-US"/>
        </w:rPr>
        <w:t>earners who are combining learning with their many other responsibilities at home and at work</w:t>
      </w:r>
      <w:r>
        <w:rPr>
          <w:lang w:val="en-US"/>
        </w:rPr>
        <w:t xml:space="preserve"> find a </w:t>
      </w:r>
      <w:r w:rsidRPr="00632B6D">
        <w:rPr>
          <w:lang w:val="en-US"/>
        </w:rPr>
        <w:t xml:space="preserve">lack of structure and guidance in open and flexible learning environments, as is in the case </w:t>
      </w:r>
      <w:r>
        <w:rPr>
          <w:lang w:val="en-US"/>
        </w:rPr>
        <w:t>in</w:t>
      </w:r>
      <w:r w:rsidRPr="00632B6D">
        <w:rPr>
          <w:lang w:val="en-US"/>
        </w:rPr>
        <w:t xml:space="preserve"> MOOCs for instance, also problematic. </w:t>
      </w:r>
      <w:r>
        <w:rPr>
          <w:lang w:val="en-US"/>
        </w:rPr>
        <w:t xml:space="preserve">And this </w:t>
      </w:r>
      <w:r w:rsidRPr="00632B6D">
        <w:rPr>
          <w:lang w:val="en-US"/>
        </w:rPr>
        <w:t>is the subject of the article “</w:t>
      </w:r>
      <w:r w:rsidR="004C350F">
        <w:rPr>
          <w:lang w:val="en-US"/>
        </w:rPr>
        <w:t>F</w:t>
      </w:r>
      <w:r w:rsidRPr="00632B6D">
        <w:rPr>
          <w:lang w:val="en-US"/>
        </w:rPr>
        <w:t xml:space="preserve">actors influencing </w:t>
      </w:r>
      <w:r w:rsidR="004C350F" w:rsidRPr="004C350F">
        <w:t xml:space="preserve">the </w:t>
      </w:r>
      <w:r w:rsidR="00FC6F6E" w:rsidRPr="004C350F">
        <w:t>P</w:t>
      </w:r>
      <w:r w:rsidR="004C350F" w:rsidRPr="004C350F">
        <w:t xml:space="preserve">ursuit of </w:t>
      </w:r>
      <w:r w:rsidR="00FC6F6E" w:rsidRPr="004C350F">
        <w:t xml:space="preserve">Personal </w:t>
      </w:r>
      <w:r w:rsidR="00FC6F6E" w:rsidRPr="00632B6D">
        <w:rPr>
          <w:lang w:val="en-US"/>
        </w:rPr>
        <w:t>Learning</w:t>
      </w:r>
      <w:r w:rsidR="00FC6F6E">
        <w:rPr>
          <w:lang w:val="en-US"/>
        </w:rPr>
        <w:t xml:space="preserve"> Goals </w:t>
      </w:r>
      <w:r w:rsidR="004C350F">
        <w:rPr>
          <w:lang w:val="en-US"/>
        </w:rPr>
        <w:t>in MOOCs</w:t>
      </w:r>
      <w:r w:rsidRPr="00632B6D">
        <w:rPr>
          <w:lang w:val="en-US"/>
        </w:rPr>
        <w:t xml:space="preserve">” by Maartje Henderikx, </w:t>
      </w:r>
      <w:proofErr w:type="spellStart"/>
      <w:r w:rsidRPr="00632B6D">
        <w:rPr>
          <w:lang w:val="en-US"/>
        </w:rPr>
        <w:t>Karel</w:t>
      </w:r>
      <w:proofErr w:type="spellEnd"/>
      <w:r w:rsidRPr="00632B6D">
        <w:rPr>
          <w:lang w:val="en-US"/>
        </w:rPr>
        <w:t xml:space="preserve"> </w:t>
      </w:r>
      <w:proofErr w:type="spellStart"/>
      <w:r w:rsidRPr="00632B6D">
        <w:rPr>
          <w:lang w:val="en-US"/>
        </w:rPr>
        <w:t>Kreijns</w:t>
      </w:r>
      <w:proofErr w:type="spellEnd"/>
      <w:r w:rsidRPr="00632B6D">
        <w:rPr>
          <w:lang w:val="en-US"/>
        </w:rPr>
        <w:t xml:space="preserve">, Jonatan </w:t>
      </w:r>
      <w:proofErr w:type="spellStart"/>
      <w:r w:rsidRPr="00632B6D">
        <w:rPr>
          <w:lang w:val="en-US"/>
        </w:rPr>
        <w:t>Castaño</w:t>
      </w:r>
      <w:proofErr w:type="spellEnd"/>
      <w:r w:rsidRPr="00632B6D">
        <w:rPr>
          <w:lang w:val="en-US"/>
        </w:rPr>
        <w:t xml:space="preserve"> Muñoz, and Marco </w:t>
      </w:r>
      <w:proofErr w:type="spellStart"/>
      <w:r w:rsidRPr="00632B6D">
        <w:rPr>
          <w:lang w:val="en-US"/>
        </w:rPr>
        <w:t>Kalz</w:t>
      </w:r>
      <w:proofErr w:type="spellEnd"/>
      <w:r w:rsidRPr="00632B6D">
        <w:rPr>
          <w:lang w:val="en-US"/>
        </w:rPr>
        <w:t>.</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sidRPr="00FC6F6E">
        <w:rPr>
          <w:lang w:val="en-US"/>
        </w:rPr>
        <w:t>Nevertheless</w:t>
      </w:r>
      <w:r>
        <w:rPr>
          <w:lang w:val="en-US"/>
        </w:rPr>
        <w:t>, a</w:t>
      </w:r>
      <w:r w:rsidRPr="00632B6D">
        <w:rPr>
          <w:lang w:val="en-US"/>
        </w:rPr>
        <w:t xml:space="preserve"> lot can be done to sustain learner engagement and their satisfaction with </w:t>
      </w:r>
      <w:r w:rsidR="00FC6F6E">
        <w:rPr>
          <w:lang w:val="en-US"/>
        </w:rPr>
        <w:t xml:space="preserve">the </w:t>
      </w:r>
      <w:r w:rsidRPr="00632B6D">
        <w:rPr>
          <w:lang w:val="en-US"/>
        </w:rPr>
        <w:t xml:space="preserve">effective and efficient design of the online and flexible learning experiences of learners. Learning and teaching outside the boundaries of the physical classroom does not mean </w:t>
      </w:r>
      <w:r>
        <w:rPr>
          <w:lang w:val="en-US"/>
        </w:rPr>
        <w:t>an</w:t>
      </w:r>
      <w:r w:rsidRPr="00632B6D">
        <w:rPr>
          <w:lang w:val="en-US"/>
        </w:rPr>
        <w:t xml:space="preserve"> absence of structure, guidance and support. In fact, a great deal of structure and guidance can be provided in online learning contexts with carefully designed acts related to teaching, </w:t>
      </w:r>
      <w:r w:rsidR="004C350F">
        <w:rPr>
          <w:lang w:val="en-US"/>
        </w:rPr>
        <w:t xml:space="preserve">and the </w:t>
      </w:r>
      <w:r w:rsidRPr="00632B6D">
        <w:rPr>
          <w:lang w:val="en-US"/>
        </w:rPr>
        <w:t xml:space="preserve">social and cognitive presence of participants. When this is the case, a positive relationship has been found between teaching presence and students’ perceptions and satisfaction with their learning. The article “Exploring </w:t>
      </w:r>
      <w:r w:rsidR="00FC6F6E" w:rsidRPr="00632B6D">
        <w:rPr>
          <w:lang w:val="en-US"/>
        </w:rPr>
        <w:t>P</w:t>
      </w:r>
      <w:r w:rsidRPr="00632B6D">
        <w:rPr>
          <w:lang w:val="en-US"/>
        </w:rPr>
        <w:t xml:space="preserve">resence in </w:t>
      </w:r>
      <w:r w:rsidR="00FC6F6E" w:rsidRPr="00632B6D">
        <w:rPr>
          <w:lang w:val="en-US"/>
        </w:rPr>
        <w:t xml:space="preserve">Online Learning </w:t>
      </w:r>
      <w:r w:rsidRPr="00632B6D">
        <w:rPr>
          <w:lang w:val="en-US"/>
        </w:rPr>
        <w:t xml:space="preserve">through </w:t>
      </w:r>
      <w:r w:rsidR="00FC6F6E" w:rsidRPr="00632B6D">
        <w:rPr>
          <w:lang w:val="en-US"/>
        </w:rPr>
        <w:t xml:space="preserve">Three Forms </w:t>
      </w:r>
      <w:r w:rsidRPr="00632B6D">
        <w:rPr>
          <w:lang w:val="en-US"/>
        </w:rPr>
        <w:t xml:space="preserve">of </w:t>
      </w:r>
      <w:r w:rsidR="00FC6F6E" w:rsidRPr="00632B6D">
        <w:rPr>
          <w:lang w:val="en-US"/>
        </w:rPr>
        <w:t>Computer-Mediated Discourse Analysis</w:t>
      </w:r>
      <w:r w:rsidRPr="00632B6D">
        <w:rPr>
          <w:lang w:val="en-US"/>
        </w:rPr>
        <w:t xml:space="preserve">” </w:t>
      </w:r>
      <w:r>
        <w:rPr>
          <w:lang w:val="en-US"/>
        </w:rPr>
        <w:t xml:space="preserve">by </w:t>
      </w:r>
      <w:proofErr w:type="spellStart"/>
      <w:r w:rsidRPr="00632B6D">
        <w:rPr>
          <w:lang w:val="en-US"/>
        </w:rPr>
        <w:t>Meina</w:t>
      </w:r>
      <w:proofErr w:type="spellEnd"/>
      <w:r w:rsidRPr="00632B6D">
        <w:rPr>
          <w:lang w:val="en-US"/>
        </w:rPr>
        <w:t xml:space="preserve"> Zhu, Susan Herring, and Curtis Bonk demonstrates just that. This study employed three </w:t>
      </w:r>
      <w:r>
        <w:rPr>
          <w:lang w:val="en-US"/>
        </w:rPr>
        <w:t xml:space="preserve">innovative </w:t>
      </w:r>
      <w:r w:rsidRPr="00632B6D">
        <w:rPr>
          <w:lang w:val="en-US"/>
        </w:rPr>
        <w:t xml:space="preserve">complementary measures (i.e., participation analysis, linguistic inquiry and word count, and the </w:t>
      </w:r>
      <w:r w:rsidRPr="00361A35">
        <w:rPr>
          <w:lang w:val="en-US"/>
        </w:rPr>
        <w:t>CMC</w:t>
      </w:r>
      <w:r w:rsidRPr="00632B6D">
        <w:rPr>
          <w:lang w:val="en-US"/>
        </w:rPr>
        <w:t xml:space="preserve"> speech act taxonomy) to understand how social, cognitive and teaching presence works </w:t>
      </w:r>
      <w:r>
        <w:rPr>
          <w:lang w:val="en-US"/>
        </w:rPr>
        <w:t>in</w:t>
      </w:r>
      <w:r w:rsidRPr="00632B6D">
        <w:rPr>
          <w:lang w:val="en-US"/>
        </w:rPr>
        <w:t xml:space="preserve"> online learning environments. </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Default="00F22B88" w:rsidP="00501AAC">
      <w:pPr>
        <w:pStyle w:val="Newparagraph"/>
        <w:rPr>
          <w:lang w:val="en-US"/>
        </w:rPr>
      </w:pPr>
      <w:r w:rsidRPr="00632B6D">
        <w:rPr>
          <w:lang w:val="en-US"/>
        </w:rPr>
        <w:t>There are numerous ways in which these types of influences manifest themselves. Teacher presence</w:t>
      </w:r>
      <w:r w:rsidR="00FC6F6E">
        <w:rPr>
          <w:lang w:val="en-US"/>
        </w:rPr>
        <w:t>,</w:t>
      </w:r>
      <w:r w:rsidRPr="00632B6D">
        <w:rPr>
          <w:lang w:val="en-US"/>
        </w:rPr>
        <w:t xml:space="preserve"> for instance, can manifest itself in several </w:t>
      </w:r>
      <w:r w:rsidR="00FC6F6E" w:rsidRPr="00632B6D">
        <w:rPr>
          <w:lang w:val="en-US"/>
        </w:rPr>
        <w:t>d</w:t>
      </w:r>
      <w:r w:rsidR="00FC6F6E">
        <w:rPr>
          <w:lang w:val="en-US"/>
        </w:rPr>
        <w:t>if</w:t>
      </w:r>
      <w:r w:rsidR="00FC6F6E" w:rsidRPr="00632B6D">
        <w:rPr>
          <w:lang w:val="en-US"/>
        </w:rPr>
        <w:t xml:space="preserve">ferent </w:t>
      </w:r>
      <w:r w:rsidRPr="00632B6D">
        <w:rPr>
          <w:lang w:val="en-US"/>
        </w:rPr>
        <w:t xml:space="preserve">ways, and invoke different kinds of responses from learners. The article “Effects of </w:t>
      </w:r>
      <w:r w:rsidR="0098034C" w:rsidRPr="00632B6D">
        <w:rPr>
          <w:lang w:val="en-US"/>
        </w:rPr>
        <w:t xml:space="preserve">Different Types </w:t>
      </w:r>
      <w:r w:rsidRPr="00632B6D">
        <w:rPr>
          <w:lang w:val="en-US"/>
        </w:rPr>
        <w:t xml:space="preserve">of </w:t>
      </w:r>
      <w:r w:rsidR="0098034C" w:rsidRPr="00632B6D">
        <w:rPr>
          <w:lang w:val="en-US"/>
        </w:rPr>
        <w:t>Instructor Comments</w:t>
      </w:r>
      <w:r w:rsidRPr="00632B6D">
        <w:rPr>
          <w:lang w:val="en-US"/>
        </w:rPr>
        <w:t xml:space="preserve"> in </w:t>
      </w:r>
      <w:r w:rsidR="0098034C" w:rsidRPr="00632B6D">
        <w:rPr>
          <w:lang w:val="en-US"/>
        </w:rPr>
        <w:t>Online Discussions</w:t>
      </w:r>
      <w:r w:rsidRPr="00632B6D">
        <w:rPr>
          <w:lang w:val="en-US"/>
        </w:rPr>
        <w:t xml:space="preserve">” by </w:t>
      </w:r>
      <w:proofErr w:type="spellStart"/>
      <w:r w:rsidRPr="00632B6D">
        <w:rPr>
          <w:lang w:val="en-US"/>
        </w:rPr>
        <w:t>Kyungbin</w:t>
      </w:r>
      <w:proofErr w:type="spellEnd"/>
      <w:r w:rsidRPr="00632B6D">
        <w:rPr>
          <w:lang w:val="en-US"/>
        </w:rPr>
        <w:t xml:space="preserve"> Kwon</w:t>
      </w:r>
      <w:r w:rsidR="0098034C">
        <w:rPr>
          <w:lang w:val="en-US"/>
        </w:rPr>
        <w:t>,</w:t>
      </w:r>
      <w:r w:rsidRPr="00632B6D">
        <w:rPr>
          <w:lang w:val="en-US"/>
        </w:rPr>
        <w:t xml:space="preserve"> Su Jin Park, </w:t>
      </w:r>
      <w:proofErr w:type="spellStart"/>
      <w:r w:rsidRPr="00632B6D">
        <w:rPr>
          <w:lang w:val="en-US"/>
        </w:rPr>
        <w:t>Suhkyung</w:t>
      </w:r>
      <w:proofErr w:type="spellEnd"/>
      <w:r w:rsidRPr="00632B6D">
        <w:rPr>
          <w:lang w:val="en-US"/>
        </w:rPr>
        <w:t xml:space="preserve"> Shin, and </w:t>
      </w:r>
      <w:proofErr w:type="spellStart"/>
      <w:r w:rsidRPr="00632B6D">
        <w:rPr>
          <w:lang w:val="en-US"/>
        </w:rPr>
        <w:t>Chae</w:t>
      </w:r>
      <w:proofErr w:type="spellEnd"/>
      <w:r w:rsidRPr="00632B6D">
        <w:rPr>
          <w:lang w:val="en-US"/>
        </w:rPr>
        <w:t xml:space="preserve"> Young Chang examines the potential influences of three types of these comments. These </w:t>
      </w:r>
      <w:r>
        <w:rPr>
          <w:lang w:val="en-US"/>
        </w:rPr>
        <w:t>are</w:t>
      </w:r>
      <w:r w:rsidRPr="00632B6D">
        <w:rPr>
          <w:lang w:val="en-US"/>
        </w:rPr>
        <w:t xml:space="preserve"> </w:t>
      </w:r>
      <w:r w:rsidR="0098034C">
        <w:rPr>
          <w:lang w:val="en-US"/>
        </w:rPr>
        <w:t>(</w:t>
      </w:r>
      <w:r w:rsidRPr="00632B6D">
        <w:rPr>
          <w:lang w:val="en-US"/>
        </w:rPr>
        <w:t xml:space="preserve">1) praise-oriented comments, agreeing with students’ initial messages and recapping their ideas; </w:t>
      </w:r>
      <w:r w:rsidR="0098034C">
        <w:rPr>
          <w:lang w:val="en-US"/>
        </w:rPr>
        <w:t>(</w:t>
      </w:r>
      <w:r w:rsidRPr="00632B6D">
        <w:rPr>
          <w:lang w:val="en-US"/>
        </w:rPr>
        <w:t xml:space="preserve">2) elaboration-encouraging comments, requesting elaboration on the initial messages; and </w:t>
      </w:r>
      <w:r w:rsidR="0098034C">
        <w:rPr>
          <w:lang w:val="en-US"/>
        </w:rPr>
        <w:t>(</w:t>
      </w:r>
      <w:r w:rsidRPr="00632B6D">
        <w:rPr>
          <w:lang w:val="en-US"/>
        </w:rPr>
        <w:t xml:space="preserve">3) perspective-widening comments, suggesting different or thought-provoking opinions responding to the initial messages. This study </w:t>
      </w:r>
      <w:r>
        <w:rPr>
          <w:lang w:val="en-US"/>
        </w:rPr>
        <w:t>found</w:t>
      </w:r>
      <w:r w:rsidRPr="00632B6D">
        <w:rPr>
          <w:lang w:val="en-US"/>
        </w:rPr>
        <w:t xml:space="preserve"> that perspective-widening and elaboration-encouraging comments seemed to be able to invoke much deeper levels of cognitive processing than </w:t>
      </w:r>
      <w:r w:rsidRPr="00501AAC">
        <w:t>praise</w:t>
      </w:r>
      <w:r w:rsidRPr="00632B6D">
        <w:rPr>
          <w:lang w:val="en-US"/>
        </w:rPr>
        <w:t>-oriented comments</w:t>
      </w:r>
      <w:r w:rsidR="0098034C">
        <w:rPr>
          <w:lang w:val="en-US"/>
        </w:rPr>
        <w:t>,</w:t>
      </w:r>
      <w:r w:rsidRPr="00632B6D">
        <w:rPr>
          <w:lang w:val="en-US"/>
        </w:rPr>
        <w:t xml:space="preserve"> which didn’t seem to matter much to learners. </w:t>
      </w:r>
    </w:p>
    <w:p w:rsidR="00F22B88" w:rsidRPr="00632B6D" w:rsidRDefault="00F22B88" w:rsidP="00501AAC">
      <w:pPr>
        <w:pStyle w:val="Newparagraph"/>
        <w:rPr>
          <w:lang w:val="en-US"/>
        </w:rPr>
      </w:pPr>
      <w:r>
        <w:rPr>
          <w:lang w:val="en-US"/>
        </w:rPr>
        <w:t>In the</w:t>
      </w:r>
      <w:r w:rsidRPr="00632B6D">
        <w:rPr>
          <w:lang w:val="en-US"/>
        </w:rPr>
        <w:t xml:space="preserve"> use of videos </w:t>
      </w:r>
      <w:r>
        <w:rPr>
          <w:lang w:val="en-US"/>
        </w:rPr>
        <w:t>for</w:t>
      </w:r>
      <w:r w:rsidRPr="00632B6D">
        <w:rPr>
          <w:lang w:val="en-US"/>
        </w:rPr>
        <w:t xml:space="preserve"> the presentation of content, </w:t>
      </w:r>
      <w:r>
        <w:rPr>
          <w:lang w:val="en-US"/>
        </w:rPr>
        <w:t xml:space="preserve">as is in the case of MOOCs, </w:t>
      </w:r>
      <w:r w:rsidRPr="00632B6D">
        <w:rPr>
          <w:lang w:val="en-US"/>
        </w:rPr>
        <w:t xml:space="preserve">scaffolding techniques such as sequencing and fading have </w:t>
      </w:r>
      <w:r>
        <w:rPr>
          <w:lang w:val="en-US"/>
        </w:rPr>
        <w:t xml:space="preserve">also </w:t>
      </w:r>
      <w:r w:rsidRPr="00632B6D">
        <w:rPr>
          <w:lang w:val="en-US"/>
        </w:rPr>
        <w:t xml:space="preserve">been found to be useful. And this is the focus of the article “How </w:t>
      </w:r>
      <w:r w:rsidR="0098034C" w:rsidRPr="00632B6D">
        <w:rPr>
          <w:lang w:val="en-US"/>
        </w:rPr>
        <w:t>S</w:t>
      </w:r>
      <w:r w:rsidRPr="00632B6D">
        <w:rPr>
          <w:lang w:val="en-US"/>
        </w:rPr>
        <w:t xml:space="preserve">equencing and </w:t>
      </w:r>
      <w:r w:rsidR="0098034C" w:rsidRPr="00632B6D">
        <w:rPr>
          <w:lang w:val="en-US"/>
        </w:rPr>
        <w:t>Fading</w:t>
      </w:r>
      <w:r w:rsidRPr="00632B6D">
        <w:rPr>
          <w:lang w:val="en-US"/>
        </w:rPr>
        <w:t xml:space="preserve"> affects the </w:t>
      </w:r>
      <w:r w:rsidR="0098034C" w:rsidRPr="00632B6D">
        <w:rPr>
          <w:lang w:val="en-US"/>
        </w:rPr>
        <w:t>Relati</w:t>
      </w:r>
      <w:r w:rsidRPr="00632B6D">
        <w:rPr>
          <w:lang w:val="en-US"/>
        </w:rPr>
        <w:t xml:space="preserve">onship between </w:t>
      </w:r>
      <w:r w:rsidR="0098034C" w:rsidRPr="00632B6D">
        <w:rPr>
          <w:lang w:val="en-US"/>
        </w:rPr>
        <w:t>Intrinsic</w:t>
      </w:r>
      <w:r w:rsidRPr="00632B6D">
        <w:rPr>
          <w:lang w:val="en-US"/>
        </w:rPr>
        <w:t xml:space="preserve"> and </w:t>
      </w:r>
      <w:r w:rsidR="0098034C" w:rsidRPr="00632B6D">
        <w:rPr>
          <w:lang w:val="en-US"/>
        </w:rPr>
        <w:t>Germane Cognitive Load</w:t>
      </w:r>
      <w:r w:rsidRPr="00632B6D">
        <w:rPr>
          <w:lang w:val="en-US"/>
        </w:rPr>
        <w:t>” by Christopher Lange and Jamie Costley. This large</w:t>
      </w:r>
      <w:r w:rsidR="0098034C">
        <w:rPr>
          <w:lang w:val="en-US"/>
        </w:rPr>
        <w:t>-</w:t>
      </w:r>
      <w:r w:rsidRPr="00632B6D">
        <w:rPr>
          <w:lang w:val="en-US"/>
        </w:rPr>
        <w:t>scale study explored the role of sequencing and fading in mitigating the influences on cognitive load</w:t>
      </w:r>
      <w:r>
        <w:rPr>
          <w:lang w:val="en-US"/>
        </w:rPr>
        <w:t xml:space="preserve"> for learners</w:t>
      </w:r>
      <w:r w:rsidRPr="00632B6D">
        <w:rPr>
          <w:lang w:val="en-US"/>
        </w:rPr>
        <w:t xml:space="preserve">. </w:t>
      </w:r>
      <w:r>
        <w:rPr>
          <w:lang w:val="en-US"/>
        </w:rPr>
        <w:t>Its</w:t>
      </w:r>
      <w:r w:rsidRPr="00632B6D">
        <w:rPr>
          <w:lang w:val="en-US"/>
        </w:rPr>
        <w:t xml:space="preserve"> results show that sequencing and fading can be used to positively influence the relationship between the nature of </w:t>
      </w:r>
      <w:r>
        <w:rPr>
          <w:lang w:val="en-US"/>
        </w:rPr>
        <w:t xml:space="preserve">the </w:t>
      </w:r>
      <w:r w:rsidRPr="00632B6D">
        <w:rPr>
          <w:lang w:val="en-US"/>
        </w:rPr>
        <w:t>content and its understanding.</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Pr>
          <w:lang w:val="en-US"/>
        </w:rPr>
        <w:t>Analytics</w:t>
      </w:r>
      <w:r w:rsidRPr="00632B6D">
        <w:rPr>
          <w:lang w:val="en-US"/>
        </w:rPr>
        <w:t xml:space="preserve"> </w:t>
      </w:r>
      <w:r>
        <w:rPr>
          <w:lang w:val="en-US"/>
        </w:rPr>
        <w:t xml:space="preserve">of this kind is critical for </w:t>
      </w:r>
      <w:r w:rsidRPr="00632B6D">
        <w:rPr>
          <w:lang w:val="en-US"/>
        </w:rPr>
        <w:t>a deeper understanding of the lived experiences of learners, teachers and the teaching institutions in a complex and changing learning and teaching</w:t>
      </w:r>
      <w:r>
        <w:rPr>
          <w:lang w:val="en-US"/>
        </w:rPr>
        <w:t xml:space="preserve"> landscape</w:t>
      </w:r>
      <w:r w:rsidRPr="00632B6D">
        <w:rPr>
          <w:lang w:val="en-US"/>
        </w:rPr>
        <w:t xml:space="preserve">. </w:t>
      </w:r>
      <w:r>
        <w:rPr>
          <w:lang w:val="en-US"/>
        </w:rPr>
        <w:t>Approaches to</w:t>
      </w:r>
      <w:r w:rsidRPr="00632B6D">
        <w:rPr>
          <w:lang w:val="en-US"/>
        </w:rPr>
        <w:t xml:space="preserve"> </w:t>
      </w:r>
      <w:r>
        <w:rPr>
          <w:lang w:val="en-US"/>
        </w:rPr>
        <w:t xml:space="preserve">the </w:t>
      </w:r>
      <w:r w:rsidRPr="00632B6D">
        <w:rPr>
          <w:lang w:val="en-US"/>
        </w:rPr>
        <w:t xml:space="preserve">gathering </w:t>
      </w:r>
      <w:r>
        <w:rPr>
          <w:lang w:val="en-US"/>
        </w:rPr>
        <w:t xml:space="preserve">of </w:t>
      </w:r>
      <w:r w:rsidRPr="00632B6D">
        <w:rPr>
          <w:lang w:val="en-US"/>
        </w:rPr>
        <w:t xml:space="preserve">this kind of </w:t>
      </w:r>
      <w:r w:rsidRPr="00632B6D">
        <w:rPr>
          <w:lang w:val="en-US"/>
        </w:rPr>
        <w:lastRenderedPageBreak/>
        <w:t xml:space="preserve">intelligence are several. One of these techniques is explored in the article </w:t>
      </w:r>
      <w:bookmarkStart w:id="1" w:name="_Hlk534620794"/>
      <w:r w:rsidRPr="00632B6D">
        <w:rPr>
          <w:lang w:val="en-US"/>
        </w:rPr>
        <w:t xml:space="preserve">“Chronicling </w:t>
      </w:r>
      <w:r w:rsidR="0098034C" w:rsidRPr="00632B6D">
        <w:rPr>
          <w:lang w:val="en-US"/>
        </w:rPr>
        <w:t>Engag</w:t>
      </w:r>
      <w:r w:rsidRPr="00632B6D">
        <w:rPr>
          <w:lang w:val="en-US"/>
        </w:rPr>
        <w:t xml:space="preserve">ement: </w:t>
      </w:r>
      <w:r w:rsidRPr="00C63E5B">
        <w:rPr>
          <w:lang w:val="en-US"/>
        </w:rPr>
        <w:t xml:space="preserve">Students’ </w:t>
      </w:r>
      <w:r w:rsidR="0098034C" w:rsidRPr="00C63E5B">
        <w:rPr>
          <w:lang w:val="en-US"/>
        </w:rPr>
        <w:t>Experience</w:t>
      </w:r>
      <w:r w:rsidRPr="00C63E5B">
        <w:rPr>
          <w:lang w:val="en-US"/>
        </w:rPr>
        <w:t xml:space="preserve"> of </w:t>
      </w:r>
      <w:r w:rsidR="0098034C" w:rsidRPr="00C63E5B">
        <w:rPr>
          <w:lang w:val="en-US"/>
        </w:rPr>
        <w:t xml:space="preserve">Online Learning </w:t>
      </w:r>
      <w:r w:rsidRPr="00C63E5B">
        <w:rPr>
          <w:lang w:val="en-US"/>
        </w:rPr>
        <w:t xml:space="preserve">over </w:t>
      </w:r>
      <w:r w:rsidR="0098034C" w:rsidRPr="00C63E5B">
        <w:rPr>
          <w:lang w:val="en-US"/>
        </w:rPr>
        <w:t>Time</w:t>
      </w:r>
      <w:bookmarkEnd w:id="1"/>
      <w:r w:rsidRPr="00C63E5B">
        <w:rPr>
          <w:lang w:val="en-US"/>
        </w:rPr>
        <w:t xml:space="preserve">” by </w:t>
      </w:r>
      <w:r w:rsidRPr="00C63E5B">
        <w:rPr>
          <w:rFonts w:eastAsia="DengXian"/>
          <w:color w:val="222222"/>
          <w:lang w:val="en-US"/>
        </w:rPr>
        <w:t xml:space="preserve">Tracey </w:t>
      </w:r>
      <w:r w:rsidRPr="00C63E5B">
        <w:rPr>
          <w:lang w:val="en-US"/>
        </w:rPr>
        <w:t xml:space="preserve">Muir, </w:t>
      </w:r>
      <w:r w:rsidRPr="00C63E5B">
        <w:rPr>
          <w:rFonts w:eastAsia="DengXian"/>
          <w:color w:val="222222"/>
          <w:lang w:val="en-US"/>
        </w:rPr>
        <w:t xml:space="preserve">Naomi </w:t>
      </w:r>
      <w:proofErr w:type="spellStart"/>
      <w:r w:rsidRPr="00C63E5B">
        <w:rPr>
          <w:lang w:val="en-US"/>
        </w:rPr>
        <w:t>Milthorpe</w:t>
      </w:r>
      <w:proofErr w:type="spellEnd"/>
      <w:r w:rsidRPr="00C63E5B">
        <w:rPr>
          <w:lang w:val="en-US"/>
        </w:rPr>
        <w:t xml:space="preserve">, </w:t>
      </w:r>
      <w:r w:rsidRPr="00C63E5B">
        <w:rPr>
          <w:rFonts w:eastAsia="DengXian"/>
          <w:color w:val="222222"/>
          <w:lang w:val="en-US"/>
        </w:rPr>
        <w:t xml:space="preserve">Cathy </w:t>
      </w:r>
      <w:r w:rsidRPr="00C63E5B">
        <w:rPr>
          <w:lang w:val="en-US"/>
        </w:rPr>
        <w:t xml:space="preserve">Stone, </w:t>
      </w:r>
      <w:r w:rsidRPr="00C63E5B">
        <w:rPr>
          <w:rFonts w:eastAsia="DengXian"/>
          <w:color w:val="222222"/>
          <w:lang w:val="en-US"/>
        </w:rPr>
        <w:t xml:space="preserve">Janet </w:t>
      </w:r>
      <w:proofErr w:type="spellStart"/>
      <w:r w:rsidRPr="00C63E5B">
        <w:rPr>
          <w:lang w:val="en-US"/>
        </w:rPr>
        <w:t>Dyment</w:t>
      </w:r>
      <w:proofErr w:type="spellEnd"/>
      <w:r w:rsidRPr="00C63E5B">
        <w:rPr>
          <w:lang w:val="en-US"/>
        </w:rPr>
        <w:t xml:space="preserve">, </w:t>
      </w:r>
      <w:r w:rsidRPr="00C63E5B">
        <w:rPr>
          <w:rFonts w:eastAsia="DengXian"/>
          <w:color w:val="222222"/>
          <w:lang w:val="en-US"/>
        </w:rPr>
        <w:t xml:space="preserve">Elizabeth </w:t>
      </w:r>
      <w:r w:rsidRPr="00C63E5B">
        <w:rPr>
          <w:lang w:val="en-US"/>
        </w:rPr>
        <w:t xml:space="preserve">Freeman, and </w:t>
      </w:r>
      <w:r w:rsidRPr="00C63E5B">
        <w:rPr>
          <w:rFonts w:eastAsia="DengXian"/>
          <w:color w:val="222222"/>
          <w:lang w:val="en-US"/>
        </w:rPr>
        <w:t xml:space="preserve">Belinda </w:t>
      </w:r>
      <w:r w:rsidRPr="00C63E5B">
        <w:rPr>
          <w:lang w:val="en-US"/>
        </w:rPr>
        <w:t>Hopwood. This study employed ethnographic techniques to capture the learning experience of one student over an extended period of</w:t>
      </w:r>
      <w:r w:rsidRPr="00632B6D">
        <w:rPr>
          <w:lang w:val="en-US"/>
        </w:rPr>
        <w:t xml:space="preserve"> time. </w:t>
      </w:r>
      <w:r>
        <w:rPr>
          <w:lang w:val="en-US"/>
        </w:rPr>
        <w:t xml:space="preserve">Because </w:t>
      </w:r>
      <w:r w:rsidRPr="00501AAC">
        <w:t>techniques</w:t>
      </w:r>
      <w:r w:rsidRPr="00632B6D">
        <w:rPr>
          <w:lang w:val="en-US"/>
        </w:rPr>
        <w:t xml:space="preserve"> such as these have the ability to develop a more nuanced and deeper understanding of learners’ engagement with the lear</w:t>
      </w:r>
      <w:r>
        <w:rPr>
          <w:lang w:val="en-US"/>
        </w:rPr>
        <w:t>ning and teaching transaction, t</w:t>
      </w:r>
      <w:r w:rsidRPr="00632B6D">
        <w:rPr>
          <w:lang w:val="en-US"/>
        </w:rPr>
        <w:t xml:space="preserve">hey are far </w:t>
      </w:r>
      <w:r>
        <w:rPr>
          <w:lang w:val="en-US"/>
        </w:rPr>
        <w:t xml:space="preserve">more powerful than the usual surveys for understanding </w:t>
      </w:r>
      <w:r w:rsidRPr="00632B6D">
        <w:rPr>
          <w:lang w:val="en-US"/>
        </w:rPr>
        <w:t xml:space="preserve">the influences of complex intrinsic variables such as motivation, self-regulation, persistence and resilience and the part they play in </w:t>
      </w:r>
      <w:r>
        <w:rPr>
          <w:lang w:val="en-US"/>
        </w:rPr>
        <w:t xml:space="preserve">learning and </w:t>
      </w:r>
      <w:r w:rsidRPr="00632B6D">
        <w:rPr>
          <w:lang w:val="en-US"/>
        </w:rPr>
        <w:t xml:space="preserve">success. </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501AAC">
      <w:pPr>
        <w:pStyle w:val="Newparagraph"/>
        <w:rPr>
          <w:lang w:val="en-US"/>
        </w:rPr>
      </w:pPr>
      <w:r>
        <w:rPr>
          <w:lang w:val="en-US"/>
        </w:rPr>
        <w:t>Another</w:t>
      </w:r>
      <w:r w:rsidRPr="00632B6D">
        <w:rPr>
          <w:lang w:val="en-US"/>
        </w:rPr>
        <w:t xml:space="preserve"> such complex variable integral to learning is attention</w:t>
      </w:r>
      <w:r>
        <w:rPr>
          <w:lang w:val="en-US"/>
        </w:rPr>
        <w:t>,</w:t>
      </w:r>
      <w:r w:rsidRPr="00632B6D">
        <w:rPr>
          <w:lang w:val="en-US"/>
        </w:rPr>
        <w:t xml:space="preserve"> as in </w:t>
      </w:r>
      <w:r>
        <w:rPr>
          <w:lang w:val="en-US"/>
        </w:rPr>
        <w:t xml:space="preserve">the </w:t>
      </w:r>
      <w:r w:rsidRPr="00632B6D">
        <w:rPr>
          <w:lang w:val="en-US"/>
        </w:rPr>
        <w:t xml:space="preserve">time devoted </w:t>
      </w:r>
      <w:r>
        <w:rPr>
          <w:lang w:val="en-US"/>
        </w:rPr>
        <w:t>to a task</w:t>
      </w:r>
      <w:r w:rsidRPr="00632B6D">
        <w:rPr>
          <w:lang w:val="en-US"/>
        </w:rPr>
        <w:t xml:space="preserve">. Open and flexible learning </w:t>
      </w:r>
      <w:r>
        <w:rPr>
          <w:lang w:val="en-US"/>
        </w:rPr>
        <w:t>environments such as MOOCs for some people</w:t>
      </w:r>
      <w:r w:rsidRPr="00632B6D">
        <w:rPr>
          <w:lang w:val="en-US"/>
        </w:rPr>
        <w:t xml:space="preserve"> may seem too unstructured and </w:t>
      </w:r>
      <w:r>
        <w:rPr>
          <w:lang w:val="en-US"/>
        </w:rPr>
        <w:t>overloaded</w:t>
      </w:r>
      <w:r w:rsidRPr="00632B6D">
        <w:rPr>
          <w:lang w:val="en-US"/>
        </w:rPr>
        <w:t xml:space="preserve"> with too many resources to explore</w:t>
      </w:r>
      <w:r>
        <w:rPr>
          <w:lang w:val="en-US"/>
        </w:rPr>
        <w:t>, putting a premium on their attention span</w:t>
      </w:r>
      <w:r w:rsidRPr="00632B6D">
        <w:rPr>
          <w:lang w:val="en-US"/>
        </w:rPr>
        <w:t xml:space="preserve">. How </w:t>
      </w:r>
      <w:r w:rsidRPr="002A08E6">
        <w:rPr>
          <w:lang w:val="en-US"/>
        </w:rPr>
        <w:t xml:space="preserve">attention is allowed to flow to support and promote </w:t>
      </w:r>
      <w:r>
        <w:rPr>
          <w:lang w:val="en-US"/>
        </w:rPr>
        <w:t>learning</w:t>
      </w:r>
      <w:r w:rsidRPr="002A08E6">
        <w:rPr>
          <w:lang w:val="en-US"/>
        </w:rPr>
        <w:t xml:space="preserve"> </w:t>
      </w:r>
      <w:r>
        <w:rPr>
          <w:lang w:val="en-US"/>
        </w:rPr>
        <w:t>while</w:t>
      </w:r>
      <w:r w:rsidRPr="002A08E6">
        <w:rPr>
          <w:lang w:val="en-US"/>
        </w:rPr>
        <w:t xml:space="preserve"> prevent</w:t>
      </w:r>
      <w:r>
        <w:rPr>
          <w:lang w:val="en-US"/>
        </w:rPr>
        <w:t>ing</w:t>
      </w:r>
      <w:r w:rsidRPr="002A08E6">
        <w:rPr>
          <w:lang w:val="en-US"/>
        </w:rPr>
        <w:t xml:space="preserve"> cognitive overload is the subject of the article “Modeling </w:t>
      </w:r>
      <w:r w:rsidR="008841A2" w:rsidRPr="002A08E6">
        <w:rPr>
          <w:lang w:val="en-US"/>
        </w:rPr>
        <w:t xml:space="preserve">Collective Attention </w:t>
      </w:r>
      <w:r w:rsidRPr="002A08E6">
        <w:rPr>
          <w:lang w:val="en-US"/>
        </w:rPr>
        <w:t xml:space="preserve">in </w:t>
      </w:r>
      <w:r w:rsidR="008841A2" w:rsidRPr="002A08E6">
        <w:rPr>
          <w:lang w:val="en-US"/>
        </w:rPr>
        <w:t>Onli</w:t>
      </w:r>
      <w:r w:rsidRPr="002A08E6">
        <w:rPr>
          <w:lang w:val="en-US"/>
        </w:rPr>
        <w:t xml:space="preserve">ne and </w:t>
      </w:r>
      <w:r w:rsidR="008841A2" w:rsidRPr="002A08E6">
        <w:rPr>
          <w:lang w:val="en-US"/>
        </w:rPr>
        <w:t>Flexible Learning Environments</w:t>
      </w:r>
      <w:r w:rsidRPr="002A08E6">
        <w:rPr>
          <w:lang w:val="en-US"/>
        </w:rPr>
        <w:t xml:space="preserve">” by </w:t>
      </w:r>
      <w:r w:rsidRPr="002A08E6">
        <w:t xml:space="preserve">Jingjing </w:t>
      </w:r>
      <w:r w:rsidRPr="002A08E6">
        <w:rPr>
          <w:lang w:val="en-US"/>
        </w:rPr>
        <w:t xml:space="preserve">Zhang, </w:t>
      </w:r>
      <w:proofErr w:type="spellStart"/>
      <w:r w:rsidRPr="002A08E6">
        <w:rPr>
          <w:color w:val="000000" w:themeColor="text1"/>
        </w:rPr>
        <w:t>Xiaodan</w:t>
      </w:r>
      <w:proofErr w:type="spellEnd"/>
      <w:r w:rsidRPr="002A08E6">
        <w:rPr>
          <w:color w:val="000000" w:themeColor="text1"/>
        </w:rPr>
        <w:t xml:space="preserve"> </w:t>
      </w:r>
      <w:r w:rsidRPr="002A08E6">
        <w:rPr>
          <w:lang w:val="en-US"/>
        </w:rPr>
        <w:t xml:space="preserve">Lou, </w:t>
      </w:r>
      <w:proofErr w:type="spellStart"/>
      <w:r w:rsidRPr="002A08E6">
        <w:t>Hanjie</w:t>
      </w:r>
      <w:proofErr w:type="spellEnd"/>
      <w:r w:rsidRPr="002A08E6">
        <w:t xml:space="preserve"> </w:t>
      </w:r>
      <w:r w:rsidRPr="002A08E6">
        <w:rPr>
          <w:lang w:val="en-US"/>
        </w:rPr>
        <w:t xml:space="preserve">Zhang, and </w:t>
      </w:r>
      <w:r w:rsidRPr="002A08E6">
        <w:t xml:space="preserve">Jiang </w:t>
      </w:r>
      <w:r w:rsidRPr="002A08E6">
        <w:rPr>
          <w:lang w:val="en-US"/>
        </w:rPr>
        <w:t xml:space="preserve">Zhang. </w:t>
      </w:r>
      <w:r>
        <w:rPr>
          <w:lang w:val="en-US"/>
        </w:rPr>
        <w:t>This study suggests</w:t>
      </w:r>
      <w:r w:rsidRPr="002A08E6">
        <w:rPr>
          <w:lang w:val="en-US"/>
        </w:rPr>
        <w:t xml:space="preserve"> that </w:t>
      </w:r>
      <w:r>
        <w:rPr>
          <w:lang w:val="en-US"/>
        </w:rPr>
        <w:t>since cognitive</w:t>
      </w:r>
      <w:r w:rsidRPr="002A08E6">
        <w:rPr>
          <w:lang w:val="en-US"/>
        </w:rPr>
        <w:t xml:space="preserve"> </w:t>
      </w:r>
      <w:r>
        <w:rPr>
          <w:lang w:val="en-US"/>
        </w:rPr>
        <w:t>overload affects</w:t>
      </w:r>
      <w:r w:rsidRPr="002A08E6">
        <w:rPr>
          <w:lang w:val="en-US"/>
        </w:rPr>
        <w:t xml:space="preserve"> </w:t>
      </w:r>
      <w:r>
        <w:rPr>
          <w:lang w:val="en-US"/>
        </w:rPr>
        <w:t>attention, u</w:t>
      </w:r>
      <w:r w:rsidRPr="002A08E6">
        <w:rPr>
          <w:lang w:val="en-US"/>
        </w:rPr>
        <w:t xml:space="preserve">nderstanding </w:t>
      </w:r>
      <w:r>
        <w:rPr>
          <w:lang w:val="en-US"/>
        </w:rPr>
        <w:t>its</w:t>
      </w:r>
      <w:r w:rsidRPr="002A08E6">
        <w:rPr>
          <w:lang w:val="en-US"/>
        </w:rPr>
        <w:t xml:space="preserve"> parameters</w:t>
      </w:r>
      <w:r w:rsidRPr="00632B6D">
        <w:rPr>
          <w:lang w:val="en-US"/>
        </w:rPr>
        <w:t xml:space="preserve"> is </w:t>
      </w:r>
      <w:r>
        <w:rPr>
          <w:lang w:val="en-US"/>
        </w:rPr>
        <w:t>integral</w:t>
      </w:r>
      <w:r w:rsidRPr="00632B6D">
        <w:rPr>
          <w:lang w:val="en-US"/>
        </w:rPr>
        <w:t xml:space="preserve"> to the design of learning environments.</w:t>
      </w: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1606A6" w:rsidRDefault="00F22B88" w:rsidP="001606A6">
      <w:pPr>
        <w:pStyle w:val="Newparagraph"/>
        <w:rPr>
          <w:lang w:val="en-US"/>
        </w:rPr>
      </w:pPr>
      <w:r w:rsidRPr="00632B6D">
        <w:rPr>
          <w:lang w:val="en-US"/>
        </w:rPr>
        <w:t xml:space="preserve">I hope </w:t>
      </w:r>
      <w:r>
        <w:rPr>
          <w:lang w:val="en-US"/>
        </w:rPr>
        <w:t xml:space="preserve">that </w:t>
      </w:r>
      <w:r w:rsidRPr="00632B6D">
        <w:rPr>
          <w:lang w:val="en-US"/>
        </w:rPr>
        <w:t>you find these art</w:t>
      </w:r>
      <w:r>
        <w:rPr>
          <w:lang w:val="en-US"/>
        </w:rPr>
        <w:t>icles and the issues they raise</w:t>
      </w:r>
      <w:r w:rsidRPr="00632B6D">
        <w:rPr>
          <w:lang w:val="en-US"/>
        </w:rPr>
        <w:t xml:space="preserve"> interesting and useful in your work around the design and development of productive open and flexible learning environments. The next two issues of this journal are special themed issues. </w:t>
      </w:r>
      <w:r>
        <w:rPr>
          <w:lang w:val="en-US"/>
        </w:rPr>
        <w:t>Issue number three</w:t>
      </w:r>
      <w:r w:rsidRPr="00632B6D">
        <w:rPr>
          <w:lang w:val="en-US"/>
        </w:rPr>
        <w:t xml:space="preserve"> explores the topic of </w:t>
      </w:r>
      <w:r>
        <w:rPr>
          <w:lang w:val="en-US"/>
        </w:rPr>
        <w:t>“</w:t>
      </w:r>
      <w:r w:rsidRPr="00632B6D">
        <w:rPr>
          <w:rFonts w:eastAsiaTheme="minorHAnsi"/>
          <w:lang w:val="en-US"/>
        </w:rPr>
        <w:t>learning analytics: its scope and potential in open, flexible and distance learning</w:t>
      </w:r>
      <w:r>
        <w:rPr>
          <w:rFonts w:eastAsiaTheme="minorHAnsi"/>
          <w:lang w:val="en-US"/>
        </w:rPr>
        <w:t>”</w:t>
      </w:r>
      <w:r w:rsidRPr="00632B6D">
        <w:rPr>
          <w:rFonts w:eastAsiaTheme="minorHAnsi"/>
          <w:lang w:val="en-US"/>
        </w:rPr>
        <w:t xml:space="preserve">. Guest editors of this issue are </w:t>
      </w:r>
      <w:r w:rsidRPr="00632B6D">
        <w:rPr>
          <w:rFonts w:eastAsiaTheme="minorHAnsi"/>
          <w:lang w:val="en-US"/>
        </w:rPr>
        <w:lastRenderedPageBreak/>
        <w:t xml:space="preserve">Jingjing Zhang (Beijing Normal University, China), Daniel Burgos </w:t>
      </w:r>
      <w:r w:rsidR="008841A2">
        <w:rPr>
          <w:rFonts w:eastAsiaTheme="minorHAnsi"/>
          <w:lang w:val="en-US"/>
        </w:rPr>
        <w:t>(</w:t>
      </w:r>
      <w:r w:rsidRPr="00632B6D">
        <w:rPr>
          <w:rFonts w:eastAsiaTheme="minorHAnsi"/>
          <w:lang w:val="en-US"/>
        </w:rPr>
        <w:t xml:space="preserve">Universidad </w:t>
      </w:r>
      <w:proofErr w:type="spellStart"/>
      <w:r w:rsidRPr="00632B6D">
        <w:rPr>
          <w:rFonts w:eastAsiaTheme="minorHAnsi"/>
          <w:lang w:val="en-US"/>
        </w:rPr>
        <w:t>Internacional</w:t>
      </w:r>
      <w:proofErr w:type="spellEnd"/>
      <w:r w:rsidRPr="00632B6D">
        <w:rPr>
          <w:rFonts w:eastAsiaTheme="minorHAnsi"/>
          <w:lang w:val="en-US"/>
        </w:rPr>
        <w:t xml:space="preserve"> de La Rioja, Spain</w:t>
      </w:r>
      <w:r w:rsidR="008841A2">
        <w:rPr>
          <w:rFonts w:eastAsiaTheme="minorHAnsi"/>
          <w:lang w:val="en-US"/>
        </w:rPr>
        <w:t>)</w:t>
      </w:r>
      <w:r w:rsidRPr="00632B6D">
        <w:rPr>
          <w:rFonts w:eastAsiaTheme="minorHAnsi"/>
          <w:lang w:val="en-US"/>
        </w:rPr>
        <w:t>, and Shane Dawson</w:t>
      </w:r>
      <w:r>
        <w:rPr>
          <w:rFonts w:eastAsiaTheme="minorHAnsi"/>
          <w:lang w:val="en-US"/>
        </w:rPr>
        <w:t xml:space="preserve"> (University of South Australia)</w:t>
      </w:r>
      <w:r w:rsidRPr="00632B6D">
        <w:rPr>
          <w:rFonts w:eastAsiaTheme="minorHAnsi"/>
          <w:lang w:val="en-US"/>
        </w:rPr>
        <w:t xml:space="preserve">. </w:t>
      </w:r>
      <w:r>
        <w:rPr>
          <w:rFonts w:eastAsiaTheme="minorHAnsi"/>
          <w:lang w:val="en-US"/>
        </w:rPr>
        <w:t xml:space="preserve">And in </w:t>
      </w:r>
      <w:r w:rsidR="008841A2">
        <w:rPr>
          <w:rFonts w:eastAsiaTheme="minorHAnsi"/>
          <w:lang w:val="en-US"/>
        </w:rPr>
        <w:t xml:space="preserve">issue </w:t>
      </w:r>
      <w:r>
        <w:rPr>
          <w:rFonts w:eastAsiaTheme="minorHAnsi"/>
          <w:lang w:val="en-US"/>
        </w:rPr>
        <w:t>number four,</w:t>
      </w:r>
      <w:r w:rsidRPr="00632B6D">
        <w:rPr>
          <w:rFonts w:eastAsiaTheme="minorHAnsi"/>
          <w:lang w:val="en-US"/>
        </w:rPr>
        <w:t xml:space="preserve"> the last issue of this 40th anniversary volume</w:t>
      </w:r>
      <w:r w:rsidR="008841A2">
        <w:rPr>
          <w:rFonts w:eastAsiaTheme="minorHAnsi"/>
          <w:lang w:val="en-US"/>
        </w:rPr>
        <w:t>,</w:t>
      </w:r>
      <w:r w:rsidRPr="00632B6D">
        <w:rPr>
          <w:rFonts w:eastAsiaTheme="minorHAnsi"/>
          <w:lang w:val="en-US"/>
        </w:rPr>
        <w:t xml:space="preserve"> </w:t>
      </w:r>
      <w:r>
        <w:rPr>
          <w:rFonts w:eastAsiaTheme="minorHAnsi"/>
          <w:lang w:val="en-US"/>
        </w:rPr>
        <w:t xml:space="preserve">we </w:t>
      </w:r>
      <w:r w:rsidRPr="00632B6D">
        <w:rPr>
          <w:rFonts w:eastAsiaTheme="minorHAnsi"/>
          <w:lang w:val="en-US"/>
        </w:rPr>
        <w:t xml:space="preserve">will bring to you a collection of reflections on four decades of research and scholarship in the field from a number of scholars, </w:t>
      </w:r>
      <w:r>
        <w:rPr>
          <w:rFonts w:eastAsiaTheme="minorHAnsi"/>
          <w:lang w:val="en-US"/>
        </w:rPr>
        <w:t xml:space="preserve">both </w:t>
      </w:r>
      <w:r w:rsidRPr="00632B6D">
        <w:rPr>
          <w:rFonts w:eastAsiaTheme="minorHAnsi"/>
          <w:lang w:val="en-US"/>
        </w:rPr>
        <w:t>young and old. Looking forward to it!!</w:t>
      </w:r>
    </w:p>
    <w:p w:rsidR="00F22B88" w:rsidRPr="00361A35" w:rsidRDefault="00F22B88" w:rsidP="00361A35">
      <w:pPr>
        <w:pStyle w:val="Heading1"/>
        <w:rPr>
          <w:lang w:val="en-US"/>
        </w:rPr>
      </w:pPr>
      <w:r w:rsidRPr="00632B6D">
        <w:rPr>
          <w:lang w:val="en-US"/>
        </w:rPr>
        <w:t>References</w:t>
      </w:r>
    </w:p>
    <w:p w:rsidR="00F22B88" w:rsidRPr="00632B6D" w:rsidRDefault="00F22B88" w:rsidP="00501AAC">
      <w:pPr>
        <w:pStyle w:val="References"/>
        <w:rPr>
          <w:lang w:val="en-US"/>
        </w:rPr>
      </w:pPr>
      <w:r w:rsidRPr="00632B6D">
        <w:rPr>
          <w:lang w:val="en-US"/>
        </w:rPr>
        <w:t xml:space="preserve">Jione, J., Fong, L., &amp; Naidu, S. (2019). </w:t>
      </w:r>
      <w:r w:rsidRPr="00632B6D">
        <w:rPr>
          <w:i/>
          <w:lang w:val="en-US"/>
        </w:rPr>
        <w:t>Study of technology access and use by USP students</w:t>
      </w:r>
      <w:r w:rsidR="00752ECF">
        <w:rPr>
          <w:lang w:val="en-US"/>
        </w:rPr>
        <w:t xml:space="preserve">. Unpublished </w:t>
      </w:r>
      <w:r>
        <w:rPr>
          <w:lang w:val="en-US"/>
        </w:rPr>
        <w:t>internal r</w:t>
      </w:r>
      <w:r w:rsidRPr="00632B6D">
        <w:rPr>
          <w:lang w:val="en-US"/>
        </w:rPr>
        <w:t xml:space="preserve">eport, </w:t>
      </w:r>
      <w:r>
        <w:rPr>
          <w:lang w:val="en-US"/>
        </w:rPr>
        <w:t>The University of the South Pacific</w:t>
      </w:r>
      <w:r w:rsidRPr="00632B6D">
        <w:rPr>
          <w:lang w:val="en-US"/>
        </w:rPr>
        <w:t>.</w:t>
      </w:r>
    </w:p>
    <w:p w:rsidR="008841A2" w:rsidRPr="008841A2" w:rsidRDefault="00F22B88" w:rsidP="008841A2">
      <w:pPr>
        <w:pStyle w:val="References"/>
        <w:rPr>
          <w:lang w:val="en-AU"/>
        </w:rPr>
      </w:pPr>
      <w:proofErr w:type="spellStart"/>
      <w:r w:rsidRPr="00632B6D">
        <w:rPr>
          <w:lang w:val="en-US"/>
        </w:rPr>
        <w:t>Legon</w:t>
      </w:r>
      <w:proofErr w:type="spellEnd"/>
      <w:r w:rsidRPr="00632B6D">
        <w:rPr>
          <w:lang w:val="en-US"/>
        </w:rPr>
        <w:t xml:space="preserve">, R., </w:t>
      </w:r>
      <w:proofErr w:type="spellStart"/>
      <w:r w:rsidRPr="00632B6D">
        <w:rPr>
          <w:lang w:val="en-US"/>
        </w:rPr>
        <w:t>Gareett</w:t>
      </w:r>
      <w:proofErr w:type="spellEnd"/>
      <w:r w:rsidRPr="00632B6D">
        <w:rPr>
          <w:lang w:val="en-US"/>
        </w:rPr>
        <w:t xml:space="preserve">, R., &amp; </w:t>
      </w:r>
      <w:proofErr w:type="spellStart"/>
      <w:r w:rsidRPr="00632B6D">
        <w:rPr>
          <w:lang w:val="en-US"/>
        </w:rPr>
        <w:t>Fredericksen</w:t>
      </w:r>
      <w:proofErr w:type="spellEnd"/>
      <w:r w:rsidRPr="00632B6D">
        <w:rPr>
          <w:lang w:val="en-US"/>
        </w:rPr>
        <w:t xml:space="preserve">, E. E. (2019). </w:t>
      </w:r>
      <w:r w:rsidRPr="008649DD">
        <w:rPr>
          <w:rFonts w:eastAsia="HY강M"/>
          <w:i/>
          <w:lang w:val="en-US"/>
        </w:rPr>
        <w:t xml:space="preserve">CHLOE 3: Behind the </w:t>
      </w:r>
      <w:r w:rsidR="008841A2" w:rsidRPr="008649DD">
        <w:rPr>
          <w:rFonts w:eastAsia="HY강M"/>
          <w:i/>
          <w:lang w:val="en-US"/>
        </w:rPr>
        <w:t>nu</w:t>
      </w:r>
      <w:r w:rsidRPr="008649DD">
        <w:rPr>
          <w:rFonts w:eastAsia="HY강M"/>
          <w:i/>
          <w:lang w:val="en-US"/>
        </w:rPr>
        <w:t>mbers: The changing landscape of online and education (2019)</w:t>
      </w:r>
      <w:r w:rsidRPr="00632B6D">
        <w:rPr>
          <w:rFonts w:eastAsia="HY강M"/>
          <w:lang w:val="en-US"/>
        </w:rPr>
        <w:t xml:space="preserve">. </w:t>
      </w:r>
      <w:r w:rsidR="008841A2">
        <w:rPr>
          <w:rFonts w:eastAsia="HY강M"/>
          <w:lang w:val="en-US"/>
        </w:rPr>
        <w:t>Annapolis, MD: Quality</w:t>
      </w:r>
      <w:r w:rsidR="00752ECF">
        <w:rPr>
          <w:rFonts w:eastAsia="HY강M"/>
          <w:lang w:val="en-US"/>
        </w:rPr>
        <w:t xml:space="preserve"> Matters. </w:t>
      </w:r>
      <w:r w:rsidR="008841A2">
        <w:rPr>
          <w:rFonts w:eastAsia="HY강M"/>
          <w:lang w:val="en-US"/>
        </w:rPr>
        <w:t xml:space="preserve">Retrieved from </w:t>
      </w:r>
      <w:hyperlink r:id="rId5" w:history="1">
        <w:r w:rsidR="008841A2" w:rsidRPr="008841A2">
          <w:rPr>
            <w:rStyle w:val="Hyperlink"/>
            <w:lang w:val="en-AU"/>
          </w:rPr>
          <w:t>https://www.qualitymatters.org/sites/default/files/research-docs-pdfs/CHLOE-3-Report-2019-Behind-the-Numbers.pdf</w:t>
        </w:r>
      </w:hyperlink>
    </w:p>
    <w:p w:rsidR="00752ECF" w:rsidRDefault="00752ECF" w:rsidP="00752ECF">
      <w:pPr>
        <w:pStyle w:val="References"/>
        <w:rPr>
          <w:lang w:val="en-AU"/>
        </w:rPr>
      </w:pPr>
      <w:r>
        <w:rPr>
          <w:lang w:val="en-US"/>
        </w:rPr>
        <w:t>Seaman, J. E., Allen,</w:t>
      </w:r>
      <w:r w:rsidRPr="00632B6D">
        <w:rPr>
          <w:lang w:val="en-US"/>
        </w:rPr>
        <w:t xml:space="preserve"> I. E., &amp; Seaman, J. (2018). </w:t>
      </w:r>
      <w:r w:rsidRPr="00632B6D">
        <w:rPr>
          <w:i/>
          <w:lang w:val="en-US"/>
        </w:rPr>
        <w:t>Grade increase: Tracking distance education in the United States</w:t>
      </w:r>
      <w:r w:rsidRPr="00632B6D">
        <w:rPr>
          <w:lang w:val="en-US"/>
        </w:rPr>
        <w:t xml:space="preserve">. </w:t>
      </w:r>
      <w:r>
        <w:rPr>
          <w:lang w:val="en-US"/>
        </w:rPr>
        <w:t xml:space="preserve">Oakland, CA: Babson Survey Research Group. Retrieved from </w:t>
      </w:r>
      <w:hyperlink r:id="rId6" w:history="1">
        <w:r w:rsidRPr="00752ECF">
          <w:rPr>
            <w:rStyle w:val="Hyperlink"/>
            <w:lang w:val="en-AU"/>
          </w:rPr>
          <w:t>http://onlinelearningsurvey.com/reports/gradeincrease.pdf</w:t>
        </w:r>
      </w:hyperlink>
    </w:p>
    <w:p w:rsidR="00F22B88" w:rsidRPr="00361A35" w:rsidRDefault="00F22B88" w:rsidP="00361A35"/>
    <w:p w:rsidR="00361A35" w:rsidRDefault="00F22B88" w:rsidP="00361A35">
      <w:pPr>
        <w:spacing w:line="240" w:lineRule="auto"/>
        <w:jc w:val="right"/>
        <w:rPr>
          <w:rFonts w:asciiTheme="minorHAnsi" w:hAnsiTheme="minorHAnsi" w:cstheme="minorHAnsi"/>
          <w:b/>
          <w:sz w:val="22"/>
          <w:szCs w:val="22"/>
          <w:lang w:val="en-US"/>
        </w:rPr>
      </w:pPr>
      <w:r w:rsidRPr="00632B6D">
        <w:rPr>
          <w:rFonts w:asciiTheme="minorHAnsi" w:hAnsiTheme="minorHAnsi" w:cstheme="minorHAnsi"/>
          <w:b/>
          <w:sz w:val="22"/>
          <w:szCs w:val="22"/>
          <w:lang w:val="en-US"/>
        </w:rPr>
        <w:t xml:space="preserve">Som Naidu </w:t>
      </w:r>
    </w:p>
    <w:p w:rsidR="00361A35" w:rsidRDefault="00F22B88" w:rsidP="00361A35">
      <w:pPr>
        <w:spacing w:line="240" w:lineRule="auto"/>
        <w:jc w:val="right"/>
        <w:rPr>
          <w:rFonts w:asciiTheme="minorHAnsi" w:hAnsiTheme="minorHAnsi" w:cstheme="minorHAnsi"/>
          <w:b/>
          <w:sz w:val="22"/>
          <w:szCs w:val="22"/>
          <w:lang w:val="en-US"/>
        </w:rPr>
      </w:pPr>
      <w:r w:rsidRPr="00632B6D">
        <w:rPr>
          <w:rFonts w:asciiTheme="minorHAnsi" w:hAnsiTheme="minorHAnsi" w:cstheme="minorHAnsi"/>
          <w:b/>
          <w:sz w:val="22"/>
          <w:szCs w:val="22"/>
          <w:lang w:val="en-US"/>
        </w:rPr>
        <w:t>Executive Editor</w:t>
      </w:r>
      <w:r w:rsidR="00361A35">
        <w:rPr>
          <w:rFonts w:asciiTheme="minorHAnsi" w:hAnsiTheme="minorHAnsi" w:cstheme="minorHAnsi"/>
          <w:b/>
          <w:sz w:val="22"/>
          <w:szCs w:val="22"/>
          <w:lang w:val="en-US"/>
        </w:rPr>
        <w:t xml:space="preserve"> </w:t>
      </w:r>
    </w:p>
    <w:p w:rsidR="00F22B88" w:rsidRPr="00632B6D" w:rsidRDefault="00014EFA" w:rsidP="00361A35">
      <w:pPr>
        <w:spacing w:line="240" w:lineRule="auto"/>
        <w:jc w:val="right"/>
        <w:rPr>
          <w:rFonts w:asciiTheme="minorHAnsi" w:hAnsiTheme="minorHAnsi" w:cstheme="minorHAnsi"/>
          <w:b/>
          <w:sz w:val="22"/>
          <w:szCs w:val="22"/>
          <w:lang w:val="en-US"/>
        </w:rPr>
      </w:pPr>
      <w:hyperlink r:id="rId7" w:history="1">
        <w:r w:rsidR="00361A35" w:rsidRPr="00955B7D">
          <w:rPr>
            <w:rStyle w:val="Hyperlink"/>
            <w:rFonts w:asciiTheme="minorHAnsi" w:hAnsiTheme="minorHAnsi" w:cstheme="minorHAnsi"/>
            <w:b/>
            <w:sz w:val="22"/>
            <w:szCs w:val="22"/>
            <w:lang w:val="en-US"/>
          </w:rPr>
          <w:t>sommnaidu@gmail.com</w:t>
        </w:r>
      </w:hyperlink>
      <w:r w:rsidR="00F22B88" w:rsidRPr="00632B6D">
        <w:rPr>
          <w:rStyle w:val="Hyperlink"/>
          <w:rFonts w:asciiTheme="minorHAnsi" w:hAnsiTheme="minorHAnsi" w:cstheme="minorHAnsi"/>
          <w:b/>
          <w:sz w:val="22"/>
          <w:szCs w:val="22"/>
          <w:lang w:val="en-US"/>
        </w:rPr>
        <w:t xml:space="preserve">; </w:t>
      </w:r>
      <w:hyperlink r:id="rId8" w:history="1">
        <w:r w:rsidR="00F22B88" w:rsidRPr="00632B6D">
          <w:rPr>
            <w:rStyle w:val="Hyperlink"/>
            <w:rFonts w:asciiTheme="minorHAnsi" w:hAnsiTheme="minorHAnsi" w:cstheme="minorHAnsi"/>
            <w:b/>
            <w:sz w:val="22"/>
            <w:szCs w:val="22"/>
            <w:lang w:val="en-US"/>
          </w:rPr>
          <w:t>som.naidu@usp.ac.fj</w:t>
        </w:r>
      </w:hyperlink>
    </w:p>
    <w:p w:rsidR="00F22B88" w:rsidRPr="00632B6D" w:rsidRDefault="00F22B88" w:rsidP="00A53480">
      <w:pPr>
        <w:widowControl w:val="0"/>
        <w:pBdr>
          <w:top w:val="nil"/>
          <w:left w:val="nil"/>
          <w:bottom w:val="nil"/>
          <w:right w:val="nil"/>
          <w:between w:val="nil"/>
        </w:pBdr>
        <w:spacing w:line="240" w:lineRule="auto"/>
        <w:ind w:firstLine="720"/>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eastAsia="HY강M" w:hAnsiTheme="minorHAnsi" w:cstheme="minorHAnsi"/>
          <w:sz w:val="22"/>
          <w:szCs w:val="22"/>
          <w:lang w:val="en-US"/>
        </w:rPr>
      </w:pPr>
    </w:p>
    <w:p w:rsidR="00F22B88" w:rsidRPr="00632B6D" w:rsidRDefault="00F22B88" w:rsidP="00A53480">
      <w:pPr>
        <w:spacing w:line="240" w:lineRule="auto"/>
        <w:jc w:val="both"/>
        <w:rPr>
          <w:rFonts w:asciiTheme="minorHAnsi" w:eastAsia="HY강M" w:hAnsiTheme="minorHAnsi" w:cstheme="minorHAnsi"/>
          <w:sz w:val="22"/>
          <w:szCs w:val="22"/>
          <w:lang w:val="en-US"/>
        </w:rPr>
      </w:pPr>
    </w:p>
    <w:p w:rsidR="00F22B88" w:rsidRPr="00632B6D" w:rsidRDefault="00F22B88" w:rsidP="00A53480">
      <w:pPr>
        <w:spacing w:line="240" w:lineRule="auto"/>
        <w:jc w:val="both"/>
        <w:rPr>
          <w:rFonts w:asciiTheme="minorHAnsi" w:eastAsia="HY강M"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Pr="00632B6D" w:rsidRDefault="00F22B88" w:rsidP="00A53480">
      <w:pPr>
        <w:spacing w:line="240" w:lineRule="auto"/>
        <w:jc w:val="both"/>
        <w:rPr>
          <w:rFonts w:asciiTheme="minorHAnsi" w:hAnsiTheme="minorHAnsi" w:cstheme="minorHAnsi"/>
          <w:sz w:val="22"/>
          <w:szCs w:val="22"/>
          <w:lang w:val="en-US"/>
        </w:rPr>
      </w:pPr>
    </w:p>
    <w:p w:rsidR="00F22B88" w:rsidRDefault="00F22B88" w:rsidP="006B7170">
      <w:pPr>
        <w:pStyle w:val="Notesoncontributors"/>
      </w:pPr>
    </w:p>
    <w:p w:rsidR="002D431A" w:rsidRPr="006B7170" w:rsidRDefault="006B7170" w:rsidP="00361A35">
      <w:pPr>
        <w:pStyle w:val="Articletitle"/>
      </w:pPr>
      <w:r>
        <w:br w:type="page"/>
      </w:r>
    </w:p>
    <w:sectPr w:rsidR="002D431A" w:rsidRPr="006B7170" w:rsidSect="002D43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Y강M">
    <w:altName w:val="Malgun Gothic"/>
    <w:charset w:val="81"/>
    <w:family w:val="roman"/>
    <w:pitch w:val="variable"/>
    <w:sig w:usb0="800002A7" w:usb1="19D77CF9" w:usb2="00000010" w:usb3="00000000" w:csb0="00080000"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94D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329C90"/>
    <w:lvl w:ilvl="0">
      <w:start w:val="1"/>
      <w:numFmt w:val="decimal"/>
      <w:lvlText w:val="%1."/>
      <w:lvlJc w:val="left"/>
      <w:pPr>
        <w:tabs>
          <w:tab w:val="num" w:pos="1492"/>
        </w:tabs>
        <w:ind w:left="1492" w:hanging="360"/>
      </w:pPr>
    </w:lvl>
  </w:abstractNum>
  <w:abstractNum w:abstractNumId="2">
    <w:nsid w:val="FFFFFF7D"/>
    <w:multiLevelType w:val="singleLevel"/>
    <w:tmpl w:val="67C2F2FA"/>
    <w:lvl w:ilvl="0">
      <w:start w:val="1"/>
      <w:numFmt w:val="decimal"/>
      <w:lvlText w:val="%1."/>
      <w:lvlJc w:val="left"/>
      <w:pPr>
        <w:tabs>
          <w:tab w:val="num" w:pos="1209"/>
        </w:tabs>
        <w:ind w:left="1209" w:hanging="360"/>
      </w:pPr>
    </w:lvl>
  </w:abstractNum>
  <w:abstractNum w:abstractNumId="3">
    <w:nsid w:val="FFFFFF7E"/>
    <w:multiLevelType w:val="singleLevel"/>
    <w:tmpl w:val="55344396"/>
    <w:lvl w:ilvl="0">
      <w:start w:val="1"/>
      <w:numFmt w:val="decimal"/>
      <w:lvlText w:val="%1."/>
      <w:lvlJc w:val="left"/>
      <w:pPr>
        <w:tabs>
          <w:tab w:val="num" w:pos="926"/>
        </w:tabs>
        <w:ind w:left="926" w:hanging="360"/>
      </w:pPr>
    </w:lvl>
  </w:abstractNum>
  <w:abstractNum w:abstractNumId="4">
    <w:nsid w:val="FFFFFF7F"/>
    <w:multiLevelType w:val="singleLevel"/>
    <w:tmpl w:val="CBA4C778"/>
    <w:lvl w:ilvl="0">
      <w:start w:val="1"/>
      <w:numFmt w:val="decimal"/>
      <w:lvlText w:val="%1."/>
      <w:lvlJc w:val="left"/>
      <w:pPr>
        <w:tabs>
          <w:tab w:val="num" w:pos="643"/>
        </w:tabs>
        <w:ind w:left="643" w:hanging="360"/>
      </w:pPr>
    </w:lvl>
  </w:abstractNum>
  <w:abstractNum w:abstractNumId="5">
    <w:nsid w:val="FFFFFF80"/>
    <w:multiLevelType w:val="singleLevel"/>
    <w:tmpl w:val="E54427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89018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CECEAE8"/>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01AA492A"/>
    <w:lvl w:ilvl="0">
      <w:start w:val="1"/>
      <w:numFmt w:val="decimal"/>
      <w:lvlText w:val="%1."/>
      <w:lvlJc w:val="left"/>
      <w:pPr>
        <w:tabs>
          <w:tab w:val="num" w:pos="360"/>
        </w:tabs>
        <w:ind w:left="360" w:hanging="360"/>
      </w:pPr>
    </w:lvl>
  </w:abstractNum>
  <w:abstractNum w:abstractNumId="9">
    <w:nsid w:val="FFFFFF89"/>
    <w:multiLevelType w:val="singleLevel"/>
    <w:tmpl w:val="6E0AD2DE"/>
    <w:lvl w:ilvl="0">
      <w:start w:val="1"/>
      <w:numFmt w:val="bullet"/>
      <w:lvlText w:val=""/>
      <w:lvlJc w:val="left"/>
      <w:pPr>
        <w:tabs>
          <w:tab w:val="num" w:pos="360"/>
        </w:tabs>
        <w:ind w:left="360" w:hanging="360"/>
      </w:pPr>
      <w:rPr>
        <w:rFonts w:ascii="Symbol" w:hAnsi="Symbol" w:hint="default"/>
      </w:rPr>
    </w:lvl>
  </w:abstractNum>
  <w:abstractNum w:abstractNumId="1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88"/>
    <w:rsid w:val="00014EFA"/>
    <w:rsid w:val="001130B6"/>
    <w:rsid w:val="001606A6"/>
    <w:rsid w:val="001839FA"/>
    <w:rsid w:val="00263108"/>
    <w:rsid w:val="002D431A"/>
    <w:rsid w:val="00361A35"/>
    <w:rsid w:val="00400B5B"/>
    <w:rsid w:val="004C350F"/>
    <w:rsid w:val="004F4CF6"/>
    <w:rsid w:val="00501AAC"/>
    <w:rsid w:val="00586215"/>
    <w:rsid w:val="006B7170"/>
    <w:rsid w:val="006E2993"/>
    <w:rsid w:val="00730EC6"/>
    <w:rsid w:val="00752ECF"/>
    <w:rsid w:val="008428A7"/>
    <w:rsid w:val="00843165"/>
    <w:rsid w:val="008649DD"/>
    <w:rsid w:val="008841A2"/>
    <w:rsid w:val="00933DE5"/>
    <w:rsid w:val="0098034C"/>
    <w:rsid w:val="00AF4BFD"/>
    <w:rsid w:val="00EE7E85"/>
    <w:rsid w:val="00F22B88"/>
    <w:rsid w:val="00FC6F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0FDB61-46FB-2141-8609-840E2458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70"/>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6B717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B717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B7170"/>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170"/>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6B7170"/>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6B7170"/>
    <w:rPr>
      <w:rFonts w:ascii="Times New Roman" w:eastAsia="Times New Roman" w:hAnsi="Times New Roman" w:cs="Arial"/>
      <w:bCs/>
      <w:i/>
      <w:szCs w:val="26"/>
      <w:lang w:val="en-GB" w:eastAsia="en-GB"/>
    </w:rPr>
  </w:style>
  <w:style w:type="paragraph" w:customStyle="1" w:styleId="Articletitle">
    <w:name w:val="Article title"/>
    <w:basedOn w:val="Normal"/>
    <w:next w:val="Normal"/>
    <w:qFormat/>
    <w:rsid w:val="006B7170"/>
    <w:pPr>
      <w:spacing w:after="120" w:line="360" w:lineRule="auto"/>
    </w:pPr>
    <w:rPr>
      <w:b/>
      <w:sz w:val="28"/>
    </w:rPr>
  </w:style>
  <w:style w:type="paragraph" w:customStyle="1" w:styleId="Authornames">
    <w:name w:val="Author names"/>
    <w:basedOn w:val="Normal"/>
    <w:next w:val="Normal"/>
    <w:qFormat/>
    <w:rsid w:val="006B7170"/>
    <w:pPr>
      <w:spacing w:before="240" w:line="360" w:lineRule="auto"/>
    </w:pPr>
    <w:rPr>
      <w:sz w:val="28"/>
    </w:rPr>
  </w:style>
  <w:style w:type="paragraph" w:customStyle="1" w:styleId="Affiliation">
    <w:name w:val="Affiliation"/>
    <w:basedOn w:val="Normal"/>
    <w:qFormat/>
    <w:rsid w:val="006B7170"/>
    <w:pPr>
      <w:spacing w:before="240" w:line="360" w:lineRule="auto"/>
    </w:pPr>
    <w:rPr>
      <w:i/>
    </w:rPr>
  </w:style>
  <w:style w:type="paragraph" w:customStyle="1" w:styleId="Abstract">
    <w:name w:val="Abstract"/>
    <w:basedOn w:val="Normal"/>
    <w:next w:val="Keywords"/>
    <w:qFormat/>
    <w:rsid w:val="006B7170"/>
    <w:pPr>
      <w:spacing w:before="360" w:after="300" w:line="360" w:lineRule="auto"/>
      <w:ind w:left="720" w:right="567"/>
      <w:contextualSpacing/>
    </w:pPr>
    <w:rPr>
      <w:sz w:val="22"/>
    </w:rPr>
  </w:style>
  <w:style w:type="paragraph" w:customStyle="1" w:styleId="Keywords">
    <w:name w:val="Keywords"/>
    <w:basedOn w:val="Normal"/>
    <w:next w:val="Paragraph"/>
    <w:qFormat/>
    <w:rsid w:val="006B7170"/>
    <w:pPr>
      <w:spacing w:before="240" w:after="240" w:line="360" w:lineRule="auto"/>
      <w:ind w:left="720" w:right="567"/>
    </w:pPr>
    <w:rPr>
      <w:sz w:val="22"/>
    </w:rPr>
  </w:style>
  <w:style w:type="paragraph" w:customStyle="1" w:styleId="Correspondencedetails">
    <w:name w:val="Correspondence details"/>
    <w:basedOn w:val="Normal"/>
    <w:qFormat/>
    <w:rsid w:val="006B7170"/>
    <w:pPr>
      <w:spacing w:before="240" w:line="360" w:lineRule="auto"/>
    </w:pPr>
  </w:style>
  <w:style w:type="paragraph" w:customStyle="1" w:styleId="Displayedquotation">
    <w:name w:val="Displayed quotation"/>
    <w:basedOn w:val="Normal"/>
    <w:qFormat/>
    <w:rsid w:val="006B717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B7170"/>
    <w:pPr>
      <w:widowControl/>
      <w:numPr>
        <w:numId w:val="11"/>
      </w:numPr>
      <w:spacing w:after="240"/>
      <w:contextualSpacing/>
    </w:pPr>
  </w:style>
  <w:style w:type="paragraph" w:customStyle="1" w:styleId="Displayedequation">
    <w:name w:val="Displayed equation"/>
    <w:basedOn w:val="Normal"/>
    <w:next w:val="Paragraph"/>
    <w:qFormat/>
    <w:rsid w:val="006B7170"/>
    <w:pPr>
      <w:tabs>
        <w:tab w:val="center" w:pos="4253"/>
        <w:tab w:val="right" w:pos="8222"/>
      </w:tabs>
      <w:spacing w:before="240" w:after="240"/>
      <w:jc w:val="center"/>
    </w:pPr>
  </w:style>
  <w:style w:type="paragraph" w:customStyle="1" w:styleId="Acknowledgements">
    <w:name w:val="Acknowledgements"/>
    <w:basedOn w:val="Normal"/>
    <w:next w:val="Normal"/>
    <w:qFormat/>
    <w:rsid w:val="006B7170"/>
    <w:pPr>
      <w:spacing w:before="120" w:line="360" w:lineRule="auto"/>
    </w:pPr>
    <w:rPr>
      <w:sz w:val="22"/>
    </w:rPr>
  </w:style>
  <w:style w:type="paragraph" w:customStyle="1" w:styleId="Tabletitle">
    <w:name w:val="Table title"/>
    <w:basedOn w:val="Normal"/>
    <w:next w:val="Normal"/>
    <w:qFormat/>
    <w:rsid w:val="006B7170"/>
    <w:pPr>
      <w:spacing w:before="240" w:line="360" w:lineRule="auto"/>
    </w:pPr>
  </w:style>
  <w:style w:type="paragraph" w:customStyle="1" w:styleId="Footnotes">
    <w:name w:val="Footnotes"/>
    <w:basedOn w:val="Normal"/>
    <w:qFormat/>
    <w:rsid w:val="006B7170"/>
    <w:pPr>
      <w:spacing w:before="120" w:line="360" w:lineRule="auto"/>
      <w:ind w:left="482" w:hanging="482"/>
      <w:contextualSpacing/>
    </w:pPr>
    <w:rPr>
      <w:sz w:val="22"/>
    </w:rPr>
  </w:style>
  <w:style w:type="paragraph" w:customStyle="1" w:styleId="Notesoncontributors">
    <w:name w:val="Notes on contributors"/>
    <w:basedOn w:val="Normal"/>
    <w:qFormat/>
    <w:rsid w:val="006B7170"/>
    <w:pPr>
      <w:spacing w:before="240" w:line="360" w:lineRule="auto"/>
    </w:pPr>
    <w:rPr>
      <w:sz w:val="22"/>
    </w:rPr>
  </w:style>
  <w:style w:type="paragraph" w:customStyle="1" w:styleId="Paragraph">
    <w:name w:val="Paragraph"/>
    <w:basedOn w:val="Normal"/>
    <w:next w:val="Newparagraph"/>
    <w:qFormat/>
    <w:rsid w:val="006B7170"/>
    <w:pPr>
      <w:widowControl w:val="0"/>
      <w:spacing w:before="240"/>
    </w:pPr>
  </w:style>
  <w:style w:type="paragraph" w:customStyle="1" w:styleId="Newparagraph">
    <w:name w:val="New paragraph"/>
    <w:basedOn w:val="Normal"/>
    <w:qFormat/>
    <w:rsid w:val="006B7170"/>
    <w:pPr>
      <w:ind w:firstLine="720"/>
    </w:pPr>
  </w:style>
  <w:style w:type="paragraph" w:customStyle="1" w:styleId="References">
    <w:name w:val="References"/>
    <w:basedOn w:val="Normal"/>
    <w:qFormat/>
    <w:rsid w:val="006B7170"/>
    <w:pPr>
      <w:spacing w:before="120" w:line="360" w:lineRule="auto"/>
      <w:ind w:left="720" w:hanging="720"/>
      <w:contextualSpacing/>
    </w:pPr>
  </w:style>
  <w:style w:type="paragraph" w:customStyle="1" w:styleId="Bulletedlist">
    <w:name w:val="Bulleted list"/>
    <w:basedOn w:val="Paragraph"/>
    <w:next w:val="Paragraph"/>
    <w:qFormat/>
    <w:rsid w:val="006B7170"/>
    <w:pPr>
      <w:widowControl/>
      <w:numPr>
        <w:numId w:val="12"/>
      </w:numPr>
      <w:spacing w:after="240"/>
      <w:contextualSpacing/>
    </w:pPr>
  </w:style>
  <w:style w:type="paragraph" w:customStyle="1" w:styleId="Heading4Paragraph">
    <w:name w:val="Heading 4 + Paragraph"/>
    <w:basedOn w:val="Paragraph"/>
    <w:next w:val="Newparagraph"/>
    <w:qFormat/>
    <w:rsid w:val="006B7170"/>
    <w:pPr>
      <w:widowControl/>
      <w:spacing w:before="360"/>
    </w:pPr>
  </w:style>
  <w:style w:type="paragraph" w:customStyle="1" w:styleId="Receiveddates">
    <w:name w:val="Received dates"/>
    <w:basedOn w:val="Affiliation"/>
    <w:next w:val="Normal"/>
    <w:qFormat/>
    <w:rsid w:val="00730EC6"/>
  </w:style>
  <w:style w:type="character" w:styleId="Hyperlink">
    <w:name w:val="Hyperlink"/>
    <w:basedOn w:val="DefaultParagraphFont"/>
    <w:uiPriority w:val="99"/>
    <w:unhideWhenUsed/>
    <w:rsid w:val="00F22B88"/>
    <w:rPr>
      <w:color w:val="0000FF"/>
      <w:u w:val="single"/>
    </w:rPr>
  </w:style>
  <w:style w:type="paragraph" w:styleId="BalloonText">
    <w:name w:val="Balloon Text"/>
    <w:basedOn w:val="Normal"/>
    <w:link w:val="BalloonTextChar"/>
    <w:uiPriority w:val="99"/>
    <w:semiHidden/>
    <w:unhideWhenUsed/>
    <w:rsid w:val="00AF4BFD"/>
    <w:pPr>
      <w:spacing w:line="240" w:lineRule="auto"/>
    </w:pPr>
    <w:rPr>
      <w:sz w:val="18"/>
      <w:szCs w:val="18"/>
    </w:rPr>
  </w:style>
  <w:style w:type="character" w:customStyle="1" w:styleId="BalloonTextChar">
    <w:name w:val="Balloon Text Char"/>
    <w:basedOn w:val="DefaultParagraphFont"/>
    <w:link w:val="BalloonText"/>
    <w:uiPriority w:val="99"/>
    <w:semiHidden/>
    <w:rsid w:val="00AF4BFD"/>
    <w:rPr>
      <w:rFonts w:ascii="Times New Roman" w:eastAsia="Times New Roman" w:hAnsi="Times New Roman" w:cs="Times New Roman"/>
      <w:sz w:val="18"/>
      <w:szCs w:val="18"/>
      <w:lang w:val="en-GB" w:eastAsia="en-GB"/>
    </w:rPr>
  </w:style>
  <w:style w:type="character" w:customStyle="1" w:styleId="UnresolvedMention">
    <w:name w:val="Unresolved Mention"/>
    <w:basedOn w:val="DefaultParagraphFont"/>
    <w:uiPriority w:val="99"/>
    <w:semiHidden/>
    <w:unhideWhenUsed/>
    <w:rsid w:val="008841A2"/>
    <w:rPr>
      <w:color w:val="605E5C"/>
      <w:shd w:val="clear" w:color="auto" w:fill="E1DFDD"/>
    </w:rPr>
  </w:style>
  <w:style w:type="character" w:styleId="FollowedHyperlink">
    <w:name w:val="FollowedHyperlink"/>
    <w:basedOn w:val="DefaultParagraphFont"/>
    <w:uiPriority w:val="99"/>
    <w:semiHidden/>
    <w:unhideWhenUsed/>
    <w:rsid w:val="00361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6659">
      <w:bodyDiv w:val="1"/>
      <w:marLeft w:val="0"/>
      <w:marRight w:val="0"/>
      <w:marTop w:val="0"/>
      <w:marBottom w:val="0"/>
      <w:divBdr>
        <w:top w:val="none" w:sz="0" w:space="0" w:color="auto"/>
        <w:left w:val="none" w:sz="0" w:space="0" w:color="auto"/>
        <w:bottom w:val="none" w:sz="0" w:space="0" w:color="auto"/>
        <w:right w:val="none" w:sz="0" w:space="0" w:color="auto"/>
      </w:divBdr>
    </w:div>
    <w:div w:id="1695033675">
      <w:bodyDiv w:val="1"/>
      <w:marLeft w:val="0"/>
      <w:marRight w:val="0"/>
      <w:marTop w:val="0"/>
      <w:marBottom w:val="0"/>
      <w:divBdr>
        <w:top w:val="none" w:sz="0" w:space="0" w:color="auto"/>
        <w:left w:val="none" w:sz="0" w:space="0" w:color="auto"/>
        <w:bottom w:val="none" w:sz="0" w:space="0" w:color="auto"/>
        <w:right w:val="none" w:sz="0" w:space="0" w:color="auto"/>
      </w:divBdr>
    </w:div>
    <w:div w:id="192106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naidu@usp.ac.fj" TargetMode="External"/><Relationship Id="rId3" Type="http://schemas.openxmlformats.org/officeDocument/2006/relationships/settings" Target="settings.xml"/><Relationship Id="rId7" Type="http://schemas.openxmlformats.org/officeDocument/2006/relationships/hyperlink" Target="mailto:sommnai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arningsurvey.com/reports/gradeincrease.pdf" TargetMode="External"/><Relationship Id="rId5" Type="http://schemas.openxmlformats.org/officeDocument/2006/relationships/hyperlink" Target="https://www.qualitymatters.org/sites/default/files/research-docs-pdfs/CHLOE-3-Report-2019-Behind-the-Number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Petrolito</dc:creator>
  <cp:keywords/>
  <dc:description/>
  <cp:lastModifiedBy>Som Naidu</cp:lastModifiedBy>
  <cp:revision>3</cp:revision>
  <dcterms:created xsi:type="dcterms:W3CDTF">2019-04-14T21:06:00Z</dcterms:created>
  <dcterms:modified xsi:type="dcterms:W3CDTF">2019-04-14T21:06:00Z</dcterms:modified>
</cp:coreProperties>
</file>