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48D3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>Supporting Continuing Professional Development of Teachers in the Pacific</w:t>
      </w:r>
    </w:p>
    <w:p w14:paraId="54897D9D" w14:textId="77777777" w:rsidR="00A82EEC" w:rsidRDefault="00A82EEC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A2B8417" w14:textId="752573F0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Dr Tony </w:t>
      </w:r>
      <w:r w:rsidR="00590F50"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Mays,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Commonwealth of Learning, Vancouver Canada</w:t>
      </w:r>
    </w:p>
    <w:p w14:paraId="01462F09" w14:textId="77777777" w:rsidR="00A82EEC" w:rsidRDefault="00A82EEC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2776476" w14:textId="39A4C5D4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Dr Rajni Chand, University of the South Pacific, Suva Fiji</w:t>
      </w:r>
    </w:p>
    <w:p w14:paraId="65A34206" w14:textId="77777777" w:rsidR="00A82EEC" w:rsidRDefault="00A82EEC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955D13E" w14:textId="7C8717A6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Abstract</w:t>
      </w:r>
    </w:p>
    <w:p w14:paraId="61EE456D" w14:textId="77777777" w:rsidR="00215C45" w:rsidRDefault="00215C4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743C1F61" w14:textId="77777777" w:rsidR="00D53E4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As noted by the Commonwealth of Learning (COL, 2023), open, distance and flexible learning</w:t>
      </w:r>
      <w:r w:rsidR="001648A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(ODFL) is an important channel for increasing educational opportunities and outcomes. It is</w:t>
      </w:r>
      <w:r w:rsidR="001648A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particularly relevant for the Pacific, given small dispersed remote populations and limited</w:t>
      </w:r>
      <w:r w:rsidR="001648A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access to secondary and post-secondary opportunities in rural and outer island locations.</w:t>
      </w:r>
      <w:r w:rsidR="001648A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</w:p>
    <w:p w14:paraId="51919C8A" w14:textId="77777777" w:rsidR="00D53E45" w:rsidRDefault="00D53E4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52D637E3" w14:textId="418CCC9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Despite the potential of ODFL for the region, there has been limited investment. The COVID-</w:t>
      </w:r>
    </w:p>
    <w:p w14:paraId="7F2ACE49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19 </w:t>
      </w:r>
      <w:proofErr w:type="gram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pandemic</w:t>
      </w:r>
      <w:proofErr w:type="gram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further reinforced the need for the Pacific to be better prepared for non-contact</w:t>
      </w:r>
    </w:p>
    <w:p w14:paraId="2838CA05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teaching and provision of learning approaches outside of traditional classroom-based</w:t>
      </w:r>
    </w:p>
    <w:p w14:paraId="25AAF344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practices. Consequently, COL initiated the Partnership for ODFL in the Pacific (PODFLP),</w:t>
      </w:r>
    </w:p>
    <w:p w14:paraId="2A433C30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which is a 5-year project (2020 – 2025), funded by the New Zealand Ministry of Foreign</w:t>
      </w:r>
    </w:p>
    <w:p w14:paraId="7068D806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Affairs &amp; Trade, to support enhancing capacity and efficiency of education sectors in the</w:t>
      </w:r>
    </w:p>
    <w:p w14:paraId="34C02C16" w14:textId="15005359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Pacific through greater use of innovative delivery mechanisms and technology. COL, together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with the Pacific Centre for Flexible and Open Learning for Development (PACFOLD),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implements the project in the nine Commonwealth countries in the Pacific </w:t>
      </w: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>(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Fiji, Kiribati, Nauru,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Papua New Guinea, Samoa, Solomon Islands, Tonga, Tuvalu, Vanuatu). </w:t>
      </w:r>
      <w:r w:rsidRPr="00F20615">
        <w:rPr>
          <w:rFonts w:ascii="Arial" w:eastAsia="ArialMT" w:hAnsi="Arial" w:cs="Arial"/>
          <w:color w:val="212121"/>
          <w:kern w:val="0"/>
          <w:sz w:val="20"/>
          <w:szCs w:val="20"/>
        </w:rPr>
        <w:t>The COVID-19</w:t>
      </w:r>
      <w:r w:rsidR="00D53E45">
        <w:rPr>
          <w:rFonts w:ascii="Arial" w:eastAsia="ArialMT" w:hAnsi="Arial" w:cs="Arial"/>
          <w:color w:val="212121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212121"/>
          <w:kern w:val="0"/>
          <w:sz w:val="20"/>
          <w:szCs w:val="20"/>
        </w:rPr>
        <w:t>pandemic has resulted in the unprecedented disruption of education globally, threatening to</w:t>
      </w:r>
      <w:r w:rsidR="00D53E45">
        <w:rPr>
          <w:rFonts w:ascii="Arial" w:eastAsia="ArialMT" w:hAnsi="Arial" w:cs="Arial"/>
          <w:color w:val="212121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212121"/>
          <w:kern w:val="0"/>
          <w:sz w:val="20"/>
          <w:szCs w:val="20"/>
        </w:rPr>
        <w:t>reverse gains made in access to education and learning across countries. Education and</w:t>
      </w:r>
      <w:r w:rsidR="00D53E45">
        <w:rPr>
          <w:rFonts w:ascii="Arial" w:eastAsia="ArialMT" w:hAnsi="Arial" w:cs="Arial"/>
          <w:color w:val="212121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212121"/>
          <w:kern w:val="0"/>
          <w:sz w:val="20"/>
          <w:szCs w:val="20"/>
        </w:rPr>
        <w:t>learning in the Pacific have also been affected given limited access to distance learning</w:t>
      </w:r>
      <w:r w:rsidR="00D53E45">
        <w:rPr>
          <w:rFonts w:ascii="Arial" w:eastAsia="ArialMT" w:hAnsi="Arial" w:cs="Arial"/>
          <w:color w:val="212121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212121"/>
          <w:kern w:val="0"/>
          <w:sz w:val="20"/>
          <w:szCs w:val="20"/>
        </w:rPr>
        <w:t>during school closures, especially in rural and outer island locations. As an immediate</w:t>
      </w:r>
      <w:r w:rsidR="00D53E45">
        <w:rPr>
          <w:rFonts w:ascii="Arial" w:eastAsia="ArialMT" w:hAnsi="Arial" w:cs="Arial"/>
          <w:color w:val="212121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212121"/>
          <w:kern w:val="0"/>
          <w:sz w:val="20"/>
          <w:szCs w:val="20"/>
        </w:rPr>
        <w:t>response to COVID-19, the project supported the region in two ways, p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roviding access to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Open Educational Resources (OER) to support distance learning; and developing and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offering professional development for teachers in distance learning. Effective interventions in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this space require an understanding both of teacher identity in general and specific contextual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and cultural dynamics as well as of the role of technology in teaching. As noted by Mays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(2021), teacher identity is formed over years of experience from being a learner in school,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then as a student teacher in college and then as a classroom teacher in a school. For most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teachers currently in service, these experiences were all framed by engagement in a physical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space. However, adopting ODFL, and </w:t>
      </w:r>
      <w:proofErr w:type="gram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in particular supporting</w:t>
      </w:r>
      <w:proofErr w:type="gram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effective fully online learning,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requires a new set of capabilities on the part of teachers (</w:t>
      </w:r>
      <w:proofErr w:type="spell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Gasevic</w:t>
      </w:r>
      <w:proofErr w:type="spell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, 2020). This paper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therefore explores how continuing professional development offered to help teachers acquire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new knowledge and skills related to use of new technology and new teaching approaches not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premised asynchronously.</w:t>
      </w:r>
    </w:p>
    <w:p w14:paraId="1357A79C" w14:textId="77777777" w:rsidR="00215C45" w:rsidRDefault="00215C45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B681551" w14:textId="0CEA4B4E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>Introduction</w:t>
      </w:r>
    </w:p>
    <w:p w14:paraId="21BCA087" w14:textId="77777777" w:rsidR="000F1144" w:rsidRDefault="000F1144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033ACA9" w14:textId="4BDEAB6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There are several facets that make up teacher’s role. They are professions who need spaces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where they can share their professional experiences. While teaching they also manage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people, resources, time and reporting apart from acting as caregivers in classrooms. During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 course of their career, teachers develop a range of pedagogical practices. It can not be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denied that they are also specialists is the field. Given that teaching involves so many</w:t>
      </w:r>
      <w:r w:rsidR="00D53E4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aspects, any effective intervention to address the ODFL adoption in the South Pacific will</w:t>
      </w:r>
    </w:p>
    <w:p w14:paraId="49738F75" w14:textId="541EC271" w:rsid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50B19DF" w14:textId="77777777" w:rsidR="000F1144" w:rsidRDefault="000F1144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895B20D" w14:textId="77777777" w:rsidR="005966E8" w:rsidRDefault="005966E8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FD1BA19" w14:textId="77777777" w:rsidR="005966E8" w:rsidRDefault="005966E8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0D279BE" w14:textId="77777777" w:rsidR="005966E8" w:rsidRDefault="005966E8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0F12C69" w14:textId="77777777" w:rsidR="000F1144" w:rsidRDefault="000F1144">
      <w:pPr>
        <w:rPr>
          <w:rFonts w:ascii="Arial" w:eastAsia="ArialMT" w:hAnsi="Arial" w:cs="Arial"/>
          <w:color w:val="000000"/>
          <w:kern w:val="0"/>
          <w:sz w:val="20"/>
          <w:szCs w:val="20"/>
        </w:rPr>
      </w:pPr>
      <w:r>
        <w:rPr>
          <w:rFonts w:ascii="Arial" w:eastAsia="ArialMT" w:hAnsi="Arial" w:cs="Arial"/>
          <w:color w:val="000000"/>
          <w:kern w:val="0"/>
          <w:sz w:val="20"/>
          <w:szCs w:val="20"/>
        </w:rPr>
        <w:br w:type="page"/>
      </w:r>
    </w:p>
    <w:p w14:paraId="26BB6E99" w14:textId="0E23D55F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lastRenderedPageBreak/>
        <w:t>need to consider the various aspects of a teacher’s identity and at the same time be aware of</w:t>
      </w:r>
      <w:r w:rsidR="005966E8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 cultural diversity that exist in the region (</w:t>
      </w:r>
      <w:proofErr w:type="spell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Matopo</w:t>
      </w:r>
      <w:proofErr w:type="spell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, 2021; </w:t>
      </w:r>
      <w:proofErr w:type="spell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Reynnolds</w:t>
      </w:r>
      <w:proofErr w:type="spell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, 2021; Taleni, et al.</w:t>
      </w:r>
    </w:p>
    <w:p w14:paraId="7F8EA417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2018).</w:t>
      </w:r>
    </w:p>
    <w:p w14:paraId="6D8823B1" w14:textId="77777777" w:rsidR="005966E8" w:rsidRDefault="005966E8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E3A159F" w14:textId="0FBD5590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Moreover, it is important to understand that for effective continuing professional development</w:t>
      </w:r>
    </w:p>
    <w:p w14:paraId="355C33A1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(CPD) it is not enough for teachers simply to have mastered the content they are required to</w:t>
      </w:r>
    </w:p>
    <w:p w14:paraId="2D356A2D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teach, they must also know how best to teach that content in ways that help pupils to learn</w:t>
      </w:r>
    </w:p>
    <w:p w14:paraId="75370D25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effectively – what Shulman (1986) called ‘pedagogic content knowledge’. Given the</w:t>
      </w:r>
    </w:p>
    <w:p w14:paraId="5C004B9C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increasing use of technology in teaching it is also important for teachers to make informed</w:t>
      </w:r>
    </w:p>
    <w:p w14:paraId="12619397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decisions about what technologies are best used in what ways and for what learning</w:t>
      </w:r>
    </w:p>
    <w:p w14:paraId="4467BB42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purposes (</w:t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Mishra and Koehler, 2006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; </w:t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Koehler and Mishra, 2009)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.</w:t>
      </w:r>
    </w:p>
    <w:p w14:paraId="71DB950F" w14:textId="77777777" w:rsidR="005966E8" w:rsidRDefault="005966E8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A879DAE" w14:textId="1ACE27DA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>COL’s work on Online learning in the Pacific</w:t>
      </w:r>
    </w:p>
    <w:p w14:paraId="1FB8F9B9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An important precursor to the PODFLP initiative was COL’s response to a request received</w:t>
      </w:r>
    </w:p>
    <w:p w14:paraId="1650FC0F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from Fiji near the start of the pandemic to guide teachers in using online tools and resources</w:t>
      </w:r>
    </w:p>
    <w:p w14:paraId="3BE29AB9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to cope with emergency remote teaching. In a very short space of time, COL created and</w:t>
      </w:r>
    </w:p>
    <w:p w14:paraId="384B3670" w14:textId="57CA262D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offered a short online course called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OER for Online Learning: An Introduction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. Although there</w:t>
      </w:r>
      <w:r w:rsidR="003E165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was no time to consult with teachers in the region before launching the course, a key design</w:t>
      </w:r>
      <w:r w:rsidR="003E165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feature was encouraging teachers to share resources and experiences with one another</w:t>
      </w:r>
      <w:r w:rsidR="003E165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(Mays. et al., 2021) and regional mentors were appointed to facilitate such discussions. This</w:t>
      </w:r>
      <w:r w:rsidR="003E165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initial short course is aligned with the first level of the UNESCO ICT-CFT – focused on</w:t>
      </w:r>
      <w:r w:rsidR="003E165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knowledge acquisition.</w:t>
      </w:r>
    </w:p>
    <w:p w14:paraId="5CFA8073" w14:textId="77777777" w:rsidR="005966E8" w:rsidRDefault="005966E8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874281A" w14:textId="0FF24981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Between March and June 2021, the short course was offered again as the first of several</w:t>
      </w:r>
    </w:p>
    <w:p w14:paraId="5B334256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strategies to provide support to teachers. The course provided teachers with guidelines for</w:t>
      </w:r>
    </w:p>
    <w:p w14:paraId="7B081D67" w14:textId="5749C12C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working in new ways, using openly licensed online resources. It served as a useful foundation</w:t>
      </w:r>
      <w:r w:rsidR="003E165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on which further, more in-depth learning could subsequently be built.</w:t>
      </w:r>
    </w:p>
    <w:p w14:paraId="60809BFD" w14:textId="77777777" w:rsidR="005966E8" w:rsidRDefault="005966E8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15CFAA6" w14:textId="111EAA86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One of the earliest activities in the PODFLP initiative was development and population of a</w:t>
      </w:r>
    </w:p>
    <w:p w14:paraId="67085A17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regional OER collection which provided teachers with free access to a variety of guidelines</w:t>
      </w:r>
    </w:p>
    <w:p w14:paraId="46750F81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and examples of how to use digital resources to support emergency remote teaching and</w:t>
      </w:r>
    </w:p>
    <w:p w14:paraId="13E0A36E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subsequently blended and online learning. The regional collection was then replicated at a</w:t>
      </w:r>
    </w:p>
    <w:p w14:paraId="2BEA6517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national level to allow each country to customise the collection to address its own national</w:t>
      </w:r>
    </w:p>
    <w:p w14:paraId="5A34EAB0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curriculum structure and interests. Two countries have so far modified and added locally</w:t>
      </w:r>
    </w:p>
    <w:p w14:paraId="3B1C38C8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developed resources to their national collections with help from COL (Muthu &amp; Mays, 2022)</w:t>
      </w:r>
    </w:p>
    <w:p w14:paraId="44BB1823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and a third country has just started with customisation. In addition, COL published guides on</w:t>
      </w:r>
    </w:p>
    <w:p w14:paraId="5899DB7E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re-versioning OER and integrating OER into teaching in ways that would make for a better fit</w:t>
      </w:r>
    </w:p>
    <w:p w14:paraId="21865661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with local contexts and needs (COL 2021 a, b).</w:t>
      </w:r>
    </w:p>
    <w:p w14:paraId="38FAEA92" w14:textId="77777777" w:rsidR="003E165D" w:rsidRDefault="003E16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57DC1C11" w14:textId="3118ECC1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Given that most teachers’ experiences have been shaped by working in physical classrooms,</w:t>
      </w:r>
      <w:r w:rsidR="007E2CE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it is necessary to provide training in how to use ODFL methods, the focus of the PODFLP</w:t>
      </w:r>
      <w:r w:rsidR="007E2CE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initiative. Taking the lead from the very successful short course developed at the start of the</w:t>
      </w:r>
      <w:r w:rsidR="007E2CE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pandemic, COL partnered with the OER Foundation to design, </w:t>
      </w:r>
      <w:proofErr w:type="gram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develop</w:t>
      </w:r>
      <w:proofErr w:type="gram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and facilitate an open</w:t>
      </w:r>
      <w:r w:rsidR="007E2CE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online micro-course on Digital Skills for OER Sharing (DS4OERS). Lessons learned from the</w:t>
      </w:r>
      <w:r w:rsidR="007E2CE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experience gained from the facilitation of the inaugural cohort offering were used to make</w:t>
      </w:r>
      <w:r w:rsidR="007E2CE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some revisions to the course, whereafter it has continued to be openly hosted to allow</w:t>
      </w:r>
      <w:r w:rsidR="007E2CE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stakeholders to access, use or adapt as best suits their need (Mays &amp; Mackintosh 2022). For</w:t>
      </w:r>
      <w:r w:rsidR="007E2CE7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example, the University of the South Pacific recently offered a slightly adapted version of the</w:t>
      </w:r>
    </w:p>
    <w:p w14:paraId="322DA9C5" w14:textId="2CF61D02" w:rsid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5082CCD" w14:textId="77777777" w:rsidR="003E165D" w:rsidRDefault="003E16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CB11C16" w14:textId="77777777" w:rsidR="003E165D" w:rsidRDefault="003E16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0B75E5A" w14:textId="77777777" w:rsidR="007E2CE7" w:rsidRDefault="007E2CE7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D8234B4" w14:textId="77777777" w:rsidR="007E2CE7" w:rsidRDefault="007E2CE7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20F6C61" w14:textId="44BD9C15" w:rsidR="003E165D" w:rsidRDefault="003E165D">
      <w:pPr>
        <w:rPr>
          <w:rFonts w:ascii="Arial" w:eastAsia="ArialMT" w:hAnsi="Arial" w:cs="Arial"/>
          <w:color w:val="000000"/>
          <w:kern w:val="0"/>
          <w:sz w:val="20"/>
          <w:szCs w:val="20"/>
        </w:rPr>
      </w:pPr>
      <w:r>
        <w:rPr>
          <w:rFonts w:ascii="Arial" w:eastAsia="ArialMT" w:hAnsi="Arial" w:cs="Arial"/>
          <w:color w:val="000000"/>
          <w:kern w:val="0"/>
          <w:sz w:val="20"/>
          <w:szCs w:val="20"/>
        </w:rPr>
        <w:br w:type="page"/>
      </w:r>
    </w:p>
    <w:p w14:paraId="3919991C" w14:textId="77777777" w:rsidR="003E165D" w:rsidRPr="00F20615" w:rsidRDefault="003E16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CD6AC22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short course. Lessons learned from these experiences have shaped the development of</w:t>
      </w:r>
    </w:p>
    <w:p w14:paraId="7296455A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several subsequent open short courses on Communication Skills for ODFL, Assessment</w:t>
      </w:r>
    </w:p>
    <w:p w14:paraId="09EF85F5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Skills for ODFL, Learner Support for ODFL and, most recently, Quality Assurance for ODFL</w:t>
      </w:r>
    </w:p>
    <w:p w14:paraId="4C55181F" w14:textId="2FFB2035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Part 1. The latter course focuses on strategic issues while a second course is currently under</w:t>
      </w:r>
      <w:r w:rsidR="007E570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discussion which will focus on operational issues. The design and content of the latter short</w:t>
      </w:r>
      <w:r w:rsidR="007E570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courses has been informed also by a series of regional webinars and this marks a shift away</w:t>
      </w:r>
      <w:r w:rsidR="007E570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from COL anticipating training needs towards stakeholders in the Pacific identifying and</w:t>
      </w:r>
      <w:r w:rsidR="007E570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themselves addressing local challenges and related training needs. To this end, COL also</w:t>
      </w:r>
      <w:r w:rsidR="007E570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commissioned development of another short course called Empowered Digital Teacher for</w:t>
      </w:r>
      <w:r w:rsidR="007E570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Online Learning which aims at training senior teachers in the Pacific to use the open course</w:t>
      </w:r>
      <w:r w:rsidR="007E570D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platform which has been developed to create and offer courses for other teachers in the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Pacific. In similar vein, the PODFLP project also supports a local teacher capacity</w:t>
      </w:r>
    </w:p>
    <w:p w14:paraId="778B47CF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development initiative called the Wisdom Community of Pasifika teachers, which is an</w:t>
      </w:r>
    </w:p>
    <w:p w14:paraId="354EB547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initiative of the Fiji National University. These later interventions can be seen as aligning with</w:t>
      </w:r>
    </w:p>
    <w:p w14:paraId="278D3FFC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 second level of UNESCO’s ICT-CFT model focused on knowledge deepening.</w:t>
      </w:r>
    </w:p>
    <w:p w14:paraId="778FBA59" w14:textId="77777777" w:rsidR="007E2CE7" w:rsidRDefault="007E2CE7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2E1B051" w14:textId="08EEFCEA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In the second half of 2022, a series of webinars was held to explore high level policy, strategy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and financial issues related to ODFL provision. The webinars were targeted at senior Ministry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officials. The first webinar provided an overview of key issues, the second webinar was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designed to facilitate responses from partner Ministries, and the final webinar was designed to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solicit project proposals. While no formal project proposals were received, several activities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are currently happening in response to these discussions. The webinars, as well as the short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course Empowered Digital Teacher for Online Learning, can be seen as the beginning of a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move towards the third level of UNESCO’s ICT-CFT which focuses on knowledge creation. In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March 2023, COL hosted a face-to-face meeting of Ministry focal points in the region to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discuss how PODFLP activities can be enhanced in the second half of the project.</w:t>
      </w:r>
    </w:p>
    <w:p w14:paraId="1B8E04F4" w14:textId="77777777" w:rsidR="007E2CE7" w:rsidRDefault="007E2CE7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1735E447" w14:textId="5FECD401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COL also commissioned development of an Open Course Catalogue to provide a one-stop</w:t>
      </w:r>
    </w:p>
    <w:p w14:paraId="09832AE6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website where teachers can find other open training opportunities they might need. The</w:t>
      </w:r>
    </w:p>
    <w:p w14:paraId="08116863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intention is that the course catalogue will increasingly be populated with open courses</w:t>
      </w:r>
    </w:p>
    <w:p w14:paraId="1EDE6599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developed and offered in the region and that the platform itself will eventually be maintained</w:t>
      </w:r>
    </w:p>
    <w:p w14:paraId="54EC6AEF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by an institution based in the region (Mays 2022). In all iterations of the open courses</w:t>
      </w:r>
    </w:p>
    <w:p w14:paraId="0CCF3030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developed and offered in the Pacific, local mentors have been contracted to support the</w:t>
      </w:r>
    </w:p>
    <w:p w14:paraId="6D275779" w14:textId="219B8363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learning process and to help better to contextualise the learning. COL commissioned the OER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Foundation to review the lessons of experience from these engagements and to proposed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ways in which the mentoring model could be improved. A discussion on building a regional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mentoring network is ongoing. As part of Partnership for ODFL in the Pacific, several open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courses were developed and offered for teachers in the. Not all the teachers who register for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 course engage and completion rates are very low. However, the courses remain open after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 initial facilitation period and teachers can access the course content at any time as needs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arise. Trends have emerged from the work done to date show that many Pacific teachers lack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 prerequisite ICT skills to fast track their independent learning online. Many Pacific</w:t>
      </w:r>
      <w:r w:rsidR="002D4F6B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countries lack the ICT infrastructure and skills to manage open online ecosystems effectively.</w:t>
      </w:r>
      <w:r w:rsidR="00657F3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Additionally, many of the mentors who have been contracted in the past to support the</w:t>
      </w:r>
      <w:r w:rsidR="00657F3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process lack both the requisite technical skills and the online interactive pedagogy. (OERF,2022, pp.3-4).</w:t>
      </w:r>
    </w:p>
    <w:p w14:paraId="46FC609C" w14:textId="77777777" w:rsidR="007E2CE7" w:rsidRDefault="007E2CE7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7E393332" w14:textId="77777777" w:rsidR="00657F3A" w:rsidRDefault="00657F3A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FD36D41" w14:textId="77777777" w:rsidR="00657F3A" w:rsidRDefault="00657F3A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771C4271" w14:textId="77777777" w:rsidR="00657F3A" w:rsidRDefault="00657F3A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7ECA242" w14:textId="77777777" w:rsidR="00657F3A" w:rsidRDefault="00657F3A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23E04C0" w14:textId="77777777" w:rsidR="007E570D" w:rsidRDefault="007E570D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br w:type="page"/>
      </w:r>
    </w:p>
    <w:p w14:paraId="1953B5D2" w14:textId="5C93194A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lastRenderedPageBreak/>
        <w:t>Conclusion</w:t>
      </w:r>
    </w:p>
    <w:p w14:paraId="3B72EC51" w14:textId="5E76CD93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072AB6C" w14:textId="12E41074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We also know from prior experience that key to high engagement retention and completion of</w:t>
      </w:r>
      <w:r w:rsidR="00657F3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online CPD short courses for teachers is that participation should be </w:t>
      </w:r>
      <w:proofErr w:type="spell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recognised</w:t>
      </w:r>
      <w:proofErr w:type="spell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for</w:t>
      </w:r>
    </w:p>
    <w:p w14:paraId="0A271A37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continuing professional development credits/hours and that Ministry-based staff should be</w:t>
      </w:r>
    </w:p>
    <w:p w14:paraId="19256A81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actively engaged in providing mentoring support (Mays et al. 2021). It has therefore been</w:t>
      </w:r>
    </w:p>
    <w:p w14:paraId="4B738505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proposed to establish an online platform to train regional mentors and to provide a space in</w:t>
      </w:r>
    </w:p>
    <w:p w14:paraId="29C2E676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which they can share professional practices (OERF, 2022).</w:t>
      </w:r>
    </w:p>
    <w:p w14:paraId="13D99000" w14:textId="77777777" w:rsidR="00657F3A" w:rsidRDefault="00657F3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351007F2" w14:textId="5257F833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Increased use of ODFL approaches can help the Pacific Island Countries to reach learners</w:t>
      </w:r>
    </w:p>
    <w:p w14:paraId="430DA8E7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who have not previously been reached and to ensure continuity of learning in the face of a</w:t>
      </w:r>
    </w:p>
    <w:p w14:paraId="7E158586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number of events which may impact traditional face-to-face provision. However, the</w:t>
      </w:r>
    </w:p>
    <w:p w14:paraId="1AB05D31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experience of most teachers in the region has been shaped by working in a physical setting</w:t>
      </w:r>
    </w:p>
    <w:p w14:paraId="4305E36C" w14:textId="0339CE13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and traditional classroom-based teaching. Therefore, it is imperative that teachers are offered</w:t>
      </w:r>
      <w:r w:rsidR="00657F3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continuous professional development opportunities to acquire and practice new skills related</w:t>
      </w:r>
      <w:r w:rsidR="00657F3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to ICT use and ODFL practices. We will have most impact if CPD interventions speak to</w:t>
      </w:r>
      <w:r w:rsidR="00657F3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contextual realities, are </w:t>
      </w:r>
      <w:proofErr w:type="spell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recognised</w:t>
      </w:r>
      <w:proofErr w:type="spell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for CPD points/hours and where there is active</w:t>
      </w:r>
    </w:p>
    <w:p w14:paraId="53F2791B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mentorship by Ministry officials or Ministry-appointed senior teachers.</w:t>
      </w:r>
    </w:p>
    <w:p w14:paraId="267D8F5A" w14:textId="77777777" w:rsidR="00657F3A" w:rsidRDefault="00657F3A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181CD69B" w14:textId="5BA36599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>Acknowledgement</w:t>
      </w:r>
    </w:p>
    <w:p w14:paraId="01491300" w14:textId="77777777" w:rsidR="00F12D5D" w:rsidRDefault="00F12D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561AAF6" w14:textId="1046A588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The PODFLP initiative is made possible by the support of the New Zealand Ministry of</w:t>
      </w:r>
    </w:p>
    <w:p w14:paraId="2EE8711E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Foreign Affairs &amp; Trade.</w:t>
      </w:r>
    </w:p>
    <w:p w14:paraId="7142682F" w14:textId="77777777" w:rsidR="00F12D5D" w:rsidRDefault="00F12D5D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64845E5" w14:textId="6B6A8A24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>References</w:t>
      </w:r>
    </w:p>
    <w:p w14:paraId="3DAE2C4C" w14:textId="777777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COL. (2021a). </w:t>
      </w:r>
      <w:proofErr w:type="spellStart"/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Reversioning</w:t>
      </w:r>
      <w:proofErr w:type="spellEnd"/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OER: A Guide for Teachers in the </w:t>
      </w:r>
      <w:proofErr w:type="spellStart"/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Pacfic</w:t>
      </w:r>
      <w:proofErr w:type="spell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. COL.</w:t>
      </w:r>
    </w:p>
    <w:p w14:paraId="5DE62BBC" w14:textId="78C0ECF7" w:rsidR="00F20615" w:rsidRPr="00F20615" w:rsidRDefault="00BE21F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r>
        <w:rPr>
          <w:rFonts w:ascii="Arial" w:eastAsia="ArialMT" w:hAnsi="Arial" w:cs="Arial"/>
          <w:color w:val="0000FF"/>
          <w:kern w:val="0"/>
          <w:sz w:val="20"/>
          <w:szCs w:val="20"/>
        </w:rPr>
        <w:tab/>
      </w:r>
      <w:r w:rsidR="00F20615"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https://oasis.col.org/items/b16cc48d-4277-4bcd-b940-60941a8bb34b</w:t>
      </w:r>
    </w:p>
    <w:p w14:paraId="753DEFF0" w14:textId="77777777" w:rsidR="00F12D5D" w:rsidRDefault="00F12D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228BA1D" w14:textId="1BA3C80A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COL. (2021b).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Integrating OER in Teaching: A Guide for Teachers in the Pacific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. COL.</w:t>
      </w:r>
    </w:p>
    <w:p w14:paraId="4F78DD2D" w14:textId="1C4FBDC3" w:rsidR="00F20615" w:rsidRPr="00F20615" w:rsidRDefault="00BE21F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r>
        <w:rPr>
          <w:rFonts w:ascii="Arial" w:eastAsia="ArialMT" w:hAnsi="Arial" w:cs="Arial"/>
          <w:color w:val="0000FF"/>
          <w:kern w:val="0"/>
          <w:sz w:val="20"/>
          <w:szCs w:val="20"/>
        </w:rPr>
        <w:tab/>
      </w:r>
      <w:r w:rsidR="00F20615"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https://oasis.col.org/items/70e57385-aa47-4775-a1ca-8e7421d085d3</w:t>
      </w:r>
    </w:p>
    <w:p w14:paraId="54843F76" w14:textId="77777777" w:rsidR="00F12D5D" w:rsidRDefault="00F12D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AC9DDBD" w14:textId="642AAEE4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Commonwealth of Learning (COL). (2023).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About Partnership for ODFL in the Pacific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. COL.</w:t>
      </w:r>
    </w:p>
    <w:p w14:paraId="5D4C860F" w14:textId="3A2FA966" w:rsidR="00F20615" w:rsidRPr="00F20615" w:rsidRDefault="00BE21F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="00F20615"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https://pacificpartnership.col.org/about/</w:t>
      </w:r>
    </w:p>
    <w:p w14:paraId="7F265522" w14:textId="77777777" w:rsidR="00F12D5D" w:rsidRDefault="00F12D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6E5B835" w14:textId="58C22B46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proofErr w:type="spell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Gasevic</w:t>
      </w:r>
      <w:proofErr w:type="spell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, D. (2020). COVID-19: The steep learning curve for online education. Monash </w:t>
      </w:r>
      <w:r w:rsidR="00BE21F5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University,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LENS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, 26</w:t>
      </w:r>
      <w:r w:rsidR="00BE21F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April 2020. Accessed from: </w:t>
      </w:r>
      <w:r w:rsidR="00BE21F5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https://lens.monash.edu/@education/2020/04/26/1380195/covid-19-thesteep-</w:t>
      </w:r>
    </w:p>
    <w:p w14:paraId="15D8C3EA" w14:textId="2C02FA9E" w:rsidR="00F20615" w:rsidRPr="00F20615" w:rsidRDefault="00BE21F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r>
        <w:rPr>
          <w:rFonts w:ascii="Arial" w:eastAsia="ArialMT" w:hAnsi="Arial" w:cs="Arial"/>
          <w:color w:val="0000FF"/>
          <w:kern w:val="0"/>
          <w:sz w:val="20"/>
          <w:szCs w:val="20"/>
        </w:rPr>
        <w:tab/>
      </w:r>
      <w:r w:rsidR="00F20615"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learning-curve-for-online-education</w:t>
      </w:r>
    </w:p>
    <w:p w14:paraId="2EFBB8DE" w14:textId="77777777" w:rsidR="00F12D5D" w:rsidRDefault="00F12D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</w:p>
    <w:p w14:paraId="40B67ED4" w14:textId="6C87A54D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Koehler, M. J., &amp; Mishra, P. (2009)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. What is technological pedagogical content knowledge? </w:t>
      </w:r>
      <w:r w:rsidR="004F5931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Contemporary</w:t>
      </w:r>
      <w:r w:rsidR="004F5931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Issues in Technology and Teacher Education, 9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(1), 60-70.</w:t>
      </w:r>
    </w:p>
    <w:p w14:paraId="520456CB" w14:textId="77777777" w:rsidR="00F12D5D" w:rsidRDefault="00F12D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60098EA" w14:textId="69A897B0" w:rsidR="00F20615" w:rsidRPr="00F20615" w:rsidRDefault="00F20615" w:rsidP="004F5931">
      <w:pPr>
        <w:autoSpaceDE w:val="0"/>
        <w:autoSpaceDN w:val="0"/>
        <w:adjustRightInd w:val="0"/>
        <w:spacing w:after="0" w:line="240" w:lineRule="auto"/>
        <w:ind w:right="-72"/>
        <w:rPr>
          <w:rFonts w:ascii="Arial" w:eastAsia="ArialMT" w:hAnsi="Arial" w:cs="Arial"/>
          <w:color w:val="0000FF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Matopo, J. (2021). Negotiating the Relational </w:t>
      </w:r>
      <w:proofErr w:type="spell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Vā</w:t>
      </w:r>
      <w:proofErr w:type="spell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in the University: A Transnational Pasifika </w:t>
      </w:r>
      <w:r w:rsidR="004F5931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Standpoint During</w:t>
      </w:r>
      <w:r w:rsidR="004F5931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the COVID-19 Pandemic.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Journal of Global Indigeneity</w:t>
      </w: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,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5</w:t>
      </w: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>(1)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, </w:t>
      </w:r>
      <w:r w:rsidRPr="00F2061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1-19. </w:t>
      </w:r>
      <w:r w:rsidR="004F5931">
        <w:rPr>
          <w:rFonts w:ascii="Arial" w:hAnsi="Arial" w:cs="Arial"/>
          <w:b/>
          <w:bCs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http://hdl.handle.net/10292/14658</w:t>
      </w:r>
    </w:p>
    <w:p w14:paraId="2AB3CF82" w14:textId="77777777" w:rsidR="00F12D5D" w:rsidRDefault="00F12D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377393E" w14:textId="1E714F13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Mays, T.J. (2021). Teaching the Teachers. In: Burgos, D., Tlili, A., Tabacco, A. (eds)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Radical </w:t>
      </w:r>
      <w:r w:rsidR="004F5931">
        <w:rPr>
          <w:rFonts w:ascii="Arial" w:hAnsi="Arial" w:cs="Arial"/>
          <w:i/>
          <w:iCs/>
          <w:color w:val="000000"/>
          <w:kern w:val="0"/>
          <w:sz w:val="20"/>
          <w:szCs w:val="20"/>
        </w:rPr>
        <w:tab/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Solutions for</w:t>
      </w:r>
      <w:r w:rsidR="004F5931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Education in a Crisis Context. Lecture Notes in Educational </w:t>
      </w:r>
      <w:r w:rsidR="004F5931">
        <w:rPr>
          <w:rFonts w:ascii="Arial" w:hAnsi="Arial" w:cs="Arial"/>
          <w:i/>
          <w:iCs/>
          <w:color w:val="000000"/>
          <w:kern w:val="0"/>
          <w:sz w:val="20"/>
          <w:szCs w:val="20"/>
        </w:rPr>
        <w:tab/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Technology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. Springer, Singapore.</w:t>
      </w:r>
    </w:p>
    <w:p w14:paraId="4FDBD2C5" w14:textId="7BF353C1" w:rsidR="00F20615" w:rsidRPr="00F20615" w:rsidRDefault="004F5931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r>
        <w:rPr>
          <w:rFonts w:ascii="Arial" w:eastAsia="ArialMT" w:hAnsi="Arial" w:cs="Arial"/>
          <w:color w:val="0000FF"/>
          <w:kern w:val="0"/>
          <w:sz w:val="20"/>
          <w:szCs w:val="20"/>
        </w:rPr>
        <w:tab/>
      </w:r>
      <w:r w:rsidR="00F20615"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https://doi.org/10.1007/978-981-15-7869-4_11</w:t>
      </w:r>
    </w:p>
    <w:p w14:paraId="78789C59" w14:textId="77777777" w:rsidR="00F12D5D" w:rsidRDefault="00F12D5D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E1A7983" w14:textId="76C5E17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Mays, T. (2022). Developing an Open and Distance Learning (ODL) Course Catalogue for </w:t>
      </w:r>
      <w:r w:rsidR="004F5931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the Pacific.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PCF10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,</w:t>
      </w:r>
      <w:r w:rsidR="004F5931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Calgary, 14-16 September, 2022. </w:t>
      </w:r>
      <w:r w:rsidR="004F5931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https://doi.org/10.56059/pcf10.672</w:t>
      </w:r>
    </w:p>
    <w:p w14:paraId="401621E6" w14:textId="77777777" w:rsidR="004F5931" w:rsidRDefault="004F5931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20368535" w14:textId="77777777" w:rsidR="00C414FA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9E2C2E1" w14:textId="77777777" w:rsidR="00C414FA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4FE8DAB" w14:textId="77777777" w:rsidR="004F5931" w:rsidRDefault="004F5931">
      <w:pPr>
        <w:rPr>
          <w:rFonts w:ascii="Arial" w:eastAsia="ArialMT" w:hAnsi="Arial" w:cs="Arial"/>
          <w:color w:val="000000"/>
          <w:kern w:val="0"/>
          <w:sz w:val="20"/>
          <w:szCs w:val="20"/>
        </w:rPr>
      </w:pPr>
      <w:r>
        <w:rPr>
          <w:rFonts w:ascii="Arial" w:eastAsia="ArialMT" w:hAnsi="Arial" w:cs="Arial"/>
          <w:color w:val="000000"/>
          <w:kern w:val="0"/>
          <w:sz w:val="20"/>
          <w:szCs w:val="20"/>
        </w:rPr>
        <w:br w:type="page"/>
      </w:r>
    </w:p>
    <w:p w14:paraId="5315C4BC" w14:textId="4F41092B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lastRenderedPageBreak/>
        <w:t xml:space="preserve">Mays, T. J., Ogange, B., Naidu, S., &amp; Perris, K. (2021). Supporting teachers moving online, 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using a MOOC,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during the COVID-19 pandemic.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Journal of Learning for </w:t>
      </w:r>
      <w:r w:rsidR="00C414FA">
        <w:rPr>
          <w:rFonts w:ascii="Arial" w:hAnsi="Arial" w:cs="Arial"/>
          <w:i/>
          <w:iCs/>
          <w:color w:val="000000"/>
          <w:kern w:val="0"/>
          <w:sz w:val="20"/>
          <w:szCs w:val="20"/>
        </w:rPr>
        <w:tab/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Development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, 8(1), 27-41. </w:t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Supporting Teachers</w:t>
      </w:r>
      <w:r w:rsidR="00C414FA">
        <w:rPr>
          <w:rFonts w:ascii="Arial" w:eastAsia="ArialMT" w:hAnsi="Arial" w:cs="Arial"/>
          <w:color w:val="0000FF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 xml:space="preserve">Moving Online, Using a MOOC, </w:t>
      </w:r>
      <w:r w:rsidR="00C414FA">
        <w:rPr>
          <w:rFonts w:ascii="Arial" w:eastAsia="ArialMT" w:hAnsi="Arial" w:cs="Arial"/>
          <w:color w:val="0000FF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during the COVID-19 Pandemic | Journal of Learning for Development(jl4d.org)</w:t>
      </w:r>
    </w:p>
    <w:p w14:paraId="6134A143" w14:textId="77777777" w:rsidR="00C414FA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73B7653F" w14:textId="03C285D5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Mays, T. &amp; Mackintosh, W. (2022). OER-enabled online micro-courses for teachers – re-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mixing for resilience in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the South Pacific.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PCF10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, Calgary, 14-16 September, 2022. 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https://doi.org/10.56059/pcf10.5682</w:t>
      </w:r>
    </w:p>
    <w:p w14:paraId="25FE6147" w14:textId="77777777" w:rsidR="00C414FA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</w:p>
    <w:p w14:paraId="5BDB2A71" w14:textId="77777777" w:rsidR="00C414FA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Mishra, P., &amp; Koehler, M. J. (2006)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. Technological Pedagogical Content Knowledge: </w:t>
      </w:r>
    </w:p>
    <w:p w14:paraId="624D60F2" w14:textId="27477627" w:rsidR="00F20615" w:rsidRPr="00F20615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="00F20615"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 framework for teacher</w:t>
      </w:r>
      <w:r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="00F20615"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knowledge. </w:t>
      </w:r>
      <w:r w:rsidR="00F20615"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Teachers College Record, 108</w:t>
      </w:r>
      <w:r w:rsidR="00F20615"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(6), 1017-1054. </w:t>
      </w:r>
      <w:r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proofErr w:type="spellStart"/>
      <w:r w:rsidR="00F20615"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doi</w:t>
      </w:r>
      <w:proofErr w:type="spellEnd"/>
      <w:r w:rsidR="00F20615"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: 10.1111/j.1467-9620.2006.</w:t>
      </w:r>
      <w:proofErr w:type="gramStart"/>
      <w:r w:rsidR="00F20615"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00684.x.</w:t>
      </w:r>
      <w:proofErr w:type="gramEnd"/>
    </w:p>
    <w:p w14:paraId="7047EDE2" w14:textId="77777777" w:rsidR="00C414FA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01F53290" w14:textId="2943CDF4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Muthu, M, &amp; Mays, T. (2022). Structured Access to Curated Open Educational Resources 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Aligned to National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School Curricula: An Experiment in the Commonwealth Member 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States in the Pacific Region.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PCF10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,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Calgary, 14-16 September, 2022. </w:t>
      </w:r>
      <w:r w:rsidR="00C414FA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https://doi.org/10.56059/pcf10.7674</w:t>
      </w:r>
    </w:p>
    <w:p w14:paraId="04434B92" w14:textId="77777777" w:rsidR="00C414FA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6CADCC00" w14:textId="2D71756C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OER Foundation (OERF). (2022).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Improving the efficacy of mentorship with an open </w:t>
      </w:r>
      <w:r w:rsidR="00C414FA">
        <w:rPr>
          <w:rFonts w:ascii="Arial" w:hAnsi="Arial" w:cs="Arial"/>
          <w:i/>
          <w:iCs/>
          <w:color w:val="000000"/>
          <w:kern w:val="0"/>
          <w:sz w:val="20"/>
          <w:szCs w:val="20"/>
        </w:rPr>
        <w:tab/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education ecosystem.</w:t>
      </w:r>
      <w:r w:rsidR="00C414FA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Report prepared for PODFLP.</w:t>
      </w:r>
    </w:p>
    <w:p w14:paraId="1605534F" w14:textId="77777777" w:rsidR="00C414FA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C7DB16B" w14:textId="47EBAC27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  <w:proofErr w:type="spellStart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Reynnolds</w:t>
      </w:r>
      <w:proofErr w:type="spellEnd"/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, M. (2017).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Together as brothers: A catalytic examination of Pasifika success as </w:t>
      </w:r>
      <w:r w:rsidR="00347276">
        <w:rPr>
          <w:rFonts w:ascii="Arial" w:hAnsi="Arial" w:cs="Arial"/>
          <w:i/>
          <w:iCs/>
          <w:color w:val="000000"/>
          <w:kern w:val="0"/>
          <w:sz w:val="20"/>
          <w:szCs w:val="20"/>
        </w:rPr>
        <w:tab/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Pasifika to </w:t>
      </w:r>
      <w:proofErr w:type="spellStart"/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teu</w:t>
      </w:r>
      <w:proofErr w:type="spellEnd"/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le vain boys' secondary education in Aotearoa New Zealand (Doctoral </w:t>
      </w:r>
      <w:r w:rsidR="00347276">
        <w:rPr>
          <w:rFonts w:ascii="Arial" w:hAnsi="Arial" w:cs="Arial"/>
          <w:i/>
          <w:iCs/>
          <w:color w:val="000000"/>
          <w:kern w:val="0"/>
          <w:sz w:val="20"/>
          <w:szCs w:val="20"/>
        </w:rPr>
        <w:tab/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Thesis).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Victoria University of</w:t>
      </w:r>
      <w:r w:rsidR="00347276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 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Wellington: Te Herenga Waka. </w:t>
      </w:r>
      <w:r w:rsidR="00347276">
        <w:rPr>
          <w:rFonts w:ascii="Arial" w:eastAsia="ArialMT" w:hAnsi="Arial" w:cs="Arial"/>
          <w:color w:val="000000"/>
          <w:kern w:val="0"/>
          <w:sz w:val="20"/>
          <w:szCs w:val="20"/>
        </w:rPr>
        <w:tab/>
      </w:r>
      <w:proofErr w:type="gramStart"/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http://hdl.handle.net/10063/6487 ]</w:t>
      </w:r>
      <w:proofErr w:type="gramEnd"/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\</w:t>
      </w:r>
    </w:p>
    <w:p w14:paraId="3C7EC210" w14:textId="77777777" w:rsidR="00C414FA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FF"/>
          <w:kern w:val="0"/>
          <w:sz w:val="20"/>
          <w:szCs w:val="20"/>
        </w:rPr>
      </w:pPr>
    </w:p>
    <w:p w14:paraId="2A8BC864" w14:textId="7805CB98" w:rsidR="00F20615" w:rsidRPr="00F20615" w:rsidRDefault="00F20615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FF"/>
          <w:kern w:val="0"/>
          <w:sz w:val="20"/>
          <w:szCs w:val="20"/>
        </w:rPr>
        <w:t>Shulman, L.S. (1986)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. Those who understand: Knowledge growth in teaching. </w:t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Educational </w:t>
      </w:r>
      <w:r w:rsidR="00347276">
        <w:rPr>
          <w:rFonts w:ascii="Arial" w:hAnsi="Arial" w:cs="Arial"/>
          <w:i/>
          <w:iCs/>
          <w:color w:val="000000"/>
          <w:kern w:val="0"/>
          <w:sz w:val="20"/>
          <w:szCs w:val="20"/>
        </w:rPr>
        <w:tab/>
      </w:r>
      <w:r w:rsidRPr="00F20615">
        <w:rPr>
          <w:rFonts w:ascii="Arial" w:hAnsi="Arial" w:cs="Arial"/>
          <w:i/>
          <w:iCs/>
          <w:color w:val="000000"/>
          <w:kern w:val="0"/>
          <w:sz w:val="20"/>
          <w:szCs w:val="20"/>
        </w:rPr>
        <w:t>Researcher, 15</w:t>
      </w: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>(2), 4-14.</w:t>
      </w:r>
    </w:p>
    <w:p w14:paraId="06CFA193" w14:textId="77777777" w:rsidR="00C414FA" w:rsidRDefault="00C414FA" w:rsidP="00F2061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kern w:val="0"/>
          <w:sz w:val="20"/>
          <w:szCs w:val="20"/>
        </w:rPr>
      </w:pPr>
    </w:p>
    <w:p w14:paraId="47041F03" w14:textId="71782761" w:rsidR="00E93056" w:rsidRPr="00745473" w:rsidRDefault="00F20615" w:rsidP="003472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 w:themeColor="text1"/>
          <w:kern w:val="0"/>
          <w:sz w:val="20"/>
          <w:szCs w:val="20"/>
        </w:rPr>
      </w:pPr>
      <w:r w:rsidRPr="00F20615">
        <w:rPr>
          <w:rFonts w:ascii="Arial" w:eastAsia="ArialMT" w:hAnsi="Arial" w:cs="Arial"/>
          <w:color w:val="000000"/>
          <w:kern w:val="0"/>
          <w:sz w:val="20"/>
          <w:szCs w:val="20"/>
        </w:rPr>
        <w:t xml:space="preserve">Taleni, </w:t>
      </w:r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 xml:space="preserve">T. O., Macfarlane, S., Macfarlane, A. H., &amp; Fletcher, J. (2018). Tofa </w:t>
      </w:r>
      <w:proofErr w:type="spellStart"/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>liuliu</w:t>
      </w:r>
      <w:proofErr w:type="spellEnd"/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 xml:space="preserve"> ma le </w:t>
      </w:r>
      <w:proofErr w:type="spellStart"/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>tofa</w:t>
      </w:r>
      <w:proofErr w:type="spellEnd"/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 xml:space="preserve"> </w:t>
      </w:r>
      <w:r w:rsidR="00745473"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ab/>
      </w:r>
      <w:proofErr w:type="spellStart"/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>saili</w:t>
      </w:r>
      <w:proofErr w:type="spellEnd"/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 xml:space="preserve"> a </w:t>
      </w:r>
      <w:proofErr w:type="spellStart"/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>ta’ita’iPasefika</w:t>
      </w:r>
      <w:proofErr w:type="spellEnd"/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 xml:space="preserve">: Listening to the Voices of Pasifika Community Leaders. </w:t>
      </w:r>
      <w:r w:rsidR="00745473" w:rsidRPr="00745473">
        <w:rPr>
          <w:rFonts w:ascii="Arial" w:hAnsi="Arial" w:cs="Arial"/>
          <w:i/>
          <w:iCs/>
          <w:color w:val="000000" w:themeColor="text1"/>
          <w:kern w:val="0"/>
          <w:sz w:val="20"/>
          <w:szCs w:val="20"/>
        </w:rPr>
        <w:tab/>
      </w:r>
      <w:r w:rsidR="00745473">
        <w:rPr>
          <w:rFonts w:ascii="Arial" w:hAnsi="Arial" w:cs="Arial"/>
          <w:i/>
          <w:iCs/>
          <w:color w:val="000000" w:themeColor="text1"/>
          <w:kern w:val="0"/>
          <w:sz w:val="20"/>
          <w:szCs w:val="20"/>
        </w:rPr>
        <w:t xml:space="preserve">New </w:t>
      </w:r>
      <w:r w:rsidRPr="00745473">
        <w:rPr>
          <w:rFonts w:ascii="Arial" w:hAnsi="Arial" w:cs="Arial"/>
          <w:i/>
          <w:iCs/>
          <w:color w:val="000000" w:themeColor="text1"/>
          <w:kern w:val="0"/>
          <w:sz w:val="20"/>
          <w:szCs w:val="20"/>
        </w:rPr>
        <w:t>Zealand Journal of Educational</w:t>
      </w:r>
      <w:r w:rsidR="00347276" w:rsidRPr="00745473">
        <w:rPr>
          <w:rFonts w:ascii="Arial" w:hAnsi="Arial" w:cs="Arial"/>
          <w:i/>
          <w:iCs/>
          <w:color w:val="000000" w:themeColor="text1"/>
          <w:kern w:val="0"/>
          <w:sz w:val="20"/>
          <w:szCs w:val="20"/>
        </w:rPr>
        <w:t xml:space="preserve"> </w:t>
      </w:r>
      <w:r w:rsidRPr="00745473">
        <w:rPr>
          <w:rFonts w:ascii="Arial" w:hAnsi="Arial" w:cs="Arial"/>
          <w:i/>
          <w:iCs/>
          <w:color w:val="000000" w:themeColor="text1"/>
          <w:kern w:val="0"/>
          <w:sz w:val="20"/>
          <w:szCs w:val="20"/>
        </w:rPr>
        <w:t>Studies</w:t>
      </w:r>
      <w:r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 xml:space="preserve">, 53, 177-192. </w:t>
      </w:r>
      <w:r w:rsidR="00745473" w:rsidRPr="00745473">
        <w:rPr>
          <w:rFonts w:ascii="Arial" w:eastAsia="ArialMT" w:hAnsi="Arial" w:cs="Arial"/>
          <w:color w:val="000000" w:themeColor="text1"/>
          <w:kern w:val="0"/>
          <w:sz w:val="20"/>
          <w:szCs w:val="20"/>
        </w:rPr>
        <w:tab/>
      </w:r>
      <w:hyperlink r:id="rId7" w:history="1">
        <w:r w:rsidR="00745473" w:rsidRPr="00745473">
          <w:rPr>
            <w:rStyle w:val="Hyperlink"/>
            <w:rFonts w:ascii="Arial" w:eastAsia="ArialMT" w:hAnsi="Arial" w:cs="Arial"/>
            <w:color w:val="000000" w:themeColor="text1"/>
            <w:kern w:val="0"/>
            <w:sz w:val="20"/>
            <w:szCs w:val="20"/>
            <w:u w:val="none"/>
          </w:rPr>
          <w:t>https://link.springer.com/article/10.1007/s40841-018-0114-7</w:t>
        </w:r>
      </w:hyperlink>
    </w:p>
    <w:p w14:paraId="61A4D24C" w14:textId="77777777" w:rsidR="00745473" w:rsidRPr="00745473" w:rsidRDefault="00745473" w:rsidP="003472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 w:themeColor="text1"/>
          <w:kern w:val="0"/>
          <w:sz w:val="20"/>
          <w:szCs w:val="20"/>
        </w:rPr>
      </w:pPr>
    </w:p>
    <w:p w14:paraId="22227B13" w14:textId="77777777" w:rsidR="00745473" w:rsidRDefault="00745473" w:rsidP="00347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8900A9B" w14:textId="77777777" w:rsidR="002B7390" w:rsidRDefault="002B7390" w:rsidP="00347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15BD526" w14:textId="77777777" w:rsidR="002B7390" w:rsidRDefault="002B7390" w:rsidP="00347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CB0C727" w14:textId="77777777" w:rsidR="002B7390" w:rsidRDefault="002B7390" w:rsidP="00347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A2065B7" w14:textId="77777777" w:rsidR="002B7390" w:rsidRDefault="002B7390" w:rsidP="00347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85CF47" w14:textId="77777777" w:rsidR="002B7390" w:rsidRPr="00745473" w:rsidRDefault="002B7390" w:rsidP="00347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2B7390" w:rsidRPr="00745473" w:rsidSect="00295241">
      <w:footerReference w:type="default" r:id="rId8"/>
      <w:pgSz w:w="12240" w:h="15840"/>
      <w:pgMar w:top="1152" w:right="2016" w:bottom="864" w:left="2016" w:header="720" w:footer="720" w:gutter="0"/>
      <w:pgNumType w:start="1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C9CA" w14:textId="77777777" w:rsidR="00354089" w:rsidRDefault="00354089" w:rsidP="00354089">
      <w:pPr>
        <w:spacing w:after="0" w:line="240" w:lineRule="auto"/>
      </w:pPr>
      <w:r>
        <w:separator/>
      </w:r>
    </w:p>
  </w:endnote>
  <w:endnote w:type="continuationSeparator" w:id="0">
    <w:p w14:paraId="11EE76B1" w14:textId="77777777" w:rsidR="00354089" w:rsidRDefault="00354089" w:rsidP="0035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7626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1CC90AC" w14:textId="413F0F50" w:rsidR="00354089" w:rsidRPr="00354089" w:rsidRDefault="00354089" w:rsidP="00354089">
        <w:pPr>
          <w:pStyle w:val="Footer"/>
          <w:rPr>
            <w:rFonts w:ascii="Arial" w:hAnsi="Arial" w:cs="Arial"/>
            <w:sz w:val="20"/>
            <w:szCs w:val="20"/>
          </w:rPr>
        </w:pPr>
        <w:r w:rsidRPr="00354089">
          <w:rPr>
            <w:rFonts w:ascii="Arial" w:hAnsi="Arial" w:cs="Arial"/>
            <w:sz w:val="20"/>
            <w:szCs w:val="20"/>
          </w:rPr>
          <w:fldChar w:fldCharType="begin"/>
        </w:r>
        <w:r w:rsidRPr="0035408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54089">
          <w:rPr>
            <w:rFonts w:ascii="Arial" w:hAnsi="Arial" w:cs="Arial"/>
            <w:sz w:val="20"/>
            <w:szCs w:val="20"/>
          </w:rPr>
          <w:fldChar w:fldCharType="separate"/>
        </w:r>
        <w:r w:rsidRPr="00354089">
          <w:rPr>
            <w:rFonts w:ascii="Arial" w:hAnsi="Arial" w:cs="Arial"/>
            <w:noProof/>
            <w:sz w:val="20"/>
            <w:szCs w:val="20"/>
          </w:rPr>
          <w:t>2</w:t>
        </w:r>
        <w:r w:rsidRPr="0035408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B8CA67" w14:textId="77777777" w:rsidR="00354089" w:rsidRDefault="00354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88A9" w14:textId="77777777" w:rsidR="00354089" w:rsidRDefault="00354089" w:rsidP="00354089">
      <w:pPr>
        <w:spacing w:after="0" w:line="240" w:lineRule="auto"/>
      </w:pPr>
      <w:r>
        <w:separator/>
      </w:r>
    </w:p>
  </w:footnote>
  <w:footnote w:type="continuationSeparator" w:id="0">
    <w:p w14:paraId="1BC481BD" w14:textId="77777777" w:rsidR="00354089" w:rsidRDefault="00354089" w:rsidP="0035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0A37"/>
    <w:multiLevelType w:val="hybridMultilevel"/>
    <w:tmpl w:val="34AA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7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89"/>
    <w:rsid w:val="00001B17"/>
    <w:rsid w:val="00011AAF"/>
    <w:rsid w:val="00017BC4"/>
    <w:rsid w:val="00017F25"/>
    <w:rsid w:val="00054D49"/>
    <w:rsid w:val="00097A37"/>
    <w:rsid w:val="000F1144"/>
    <w:rsid w:val="001648AB"/>
    <w:rsid w:val="00165918"/>
    <w:rsid w:val="001F1E73"/>
    <w:rsid w:val="00215C45"/>
    <w:rsid w:val="00295241"/>
    <w:rsid w:val="002B7390"/>
    <w:rsid w:val="002C4999"/>
    <w:rsid w:val="002D4F6B"/>
    <w:rsid w:val="00334C2E"/>
    <w:rsid w:val="00347276"/>
    <w:rsid w:val="00354089"/>
    <w:rsid w:val="00374CBF"/>
    <w:rsid w:val="003D12FC"/>
    <w:rsid w:val="003E165D"/>
    <w:rsid w:val="003E270F"/>
    <w:rsid w:val="00412B26"/>
    <w:rsid w:val="00474783"/>
    <w:rsid w:val="004B1C75"/>
    <w:rsid w:val="004C0761"/>
    <w:rsid w:val="004E1CCC"/>
    <w:rsid w:val="004F5931"/>
    <w:rsid w:val="00507BBD"/>
    <w:rsid w:val="00590F50"/>
    <w:rsid w:val="005966E8"/>
    <w:rsid w:val="00657F3A"/>
    <w:rsid w:val="00663F86"/>
    <w:rsid w:val="006658A3"/>
    <w:rsid w:val="006E0303"/>
    <w:rsid w:val="00724C48"/>
    <w:rsid w:val="00745473"/>
    <w:rsid w:val="00747FAE"/>
    <w:rsid w:val="007655E8"/>
    <w:rsid w:val="007E2CE7"/>
    <w:rsid w:val="007E570D"/>
    <w:rsid w:val="007F3A4C"/>
    <w:rsid w:val="008814D4"/>
    <w:rsid w:val="008977EA"/>
    <w:rsid w:val="008D49F0"/>
    <w:rsid w:val="008F4B11"/>
    <w:rsid w:val="00907CFE"/>
    <w:rsid w:val="00953854"/>
    <w:rsid w:val="0095717F"/>
    <w:rsid w:val="009C47CA"/>
    <w:rsid w:val="009D1835"/>
    <w:rsid w:val="00A82EEC"/>
    <w:rsid w:val="00AC3706"/>
    <w:rsid w:val="00AF7C47"/>
    <w:rsid w:val="00B17427"/>
    <w:rsid w:val="00B33D61"/>
    <w:rsid w:val="00B45430"/>
    <w:rsid w:val="00B82DFB"/>
    <w:rsid w:val="00BE21F5"/>
    <w:rsid w:val="00C25641"/>
    <w:rsid w:val="00C40EFA"/>
    <w:rsid w:val="00C414FA"/>
    <w:rsid w:val="00C8085F"/>
    <w:rsid w:val="00CE22DD"/>
    <w:rsid w:val="00D53E45"/>
    <w:rsid w:val="00D57BF9"/>
    <w:rsid w:val="00D84FB6"/>
    <w:rsid w:val="00DB56B4"/>
    <w:rsid w:val="00E112CF"/>
    <w:rsid w:val="00E75670"/>
    <w:rsid w:val="00E9146C"/>
    <w:rsid w:val="00E93056"/>
    <w:rsid w:val="00EA311F"/>
    <w:rsid w:val="00EB0A97"/>
    <w:rsid w:val="00EB5877"/>
    <w:rsid w:val="00ED6AFA"/>
    <w:rsid w:val="00EE2B6A"/>
    <w:rsid w:val="00F0700D"/>
    <w:rsid w:val="00F12D5D"/>
    <w:rsid w:val="00F20615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552D"/>
  <w15:chartTrackingRefBased/>
  <w15:docId w15:val="{96B5D81F-3102-4B57-9DE1-6EACB33D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89"/>
  </w:style>
  <w:style w:type="paragraph" w:styleId="Footer">
    <w:name w:val="footer"/>
    <w:basedOn w:val="Normal"/>
    <w:link w:val="FooterChar"/>
    <w:uiPriority w:val="99"/>
    <w:unhideWhenUsed/>
    <w:rsid w:val="00354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89"/>
  </w:style>
  <w:style w:type="paragraph" w:styleId="ListParagraph">
    <w:name w:val="List Paragraph"/>
    <w:basedOn w:val="Normal"/>
    <w:uiPriority w:val="34"/>
    <w:qFormat/>
    <w:rsid w:val="00507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40841-018-0114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2362</Words>
  <Characters>13465</Characters>
  <Application>Microsoft Office Word</Application>
  <DocSecurity>4</DocSecurity>
  <Lines>112</Lines>
  <Paragraphs>31</Paragraphs>
  <ScaleCrop>false</ScaleCrop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Pranita Singh</dc:creator>
  <cp:keywords/>
  <dc:description/>
  <cp:lastModifiedBy>Rajni Chand</cp:lastModifiedBy>
  <cp:revision>2</cp:revision>
  <dcterms:created xsi:type="dcterms:W3CDTF">2025-06-24T04:43:00Z</dcterms:created>
  <dcterms:modified xsi:type="dcterms:W3CDTF">2025-06-24T04:43:00Z</dcterms:modified>
</cp:coreProperties>
</file>